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ascii="Arial" w:hAnsi="Arial" w:eastAsia="宋体"/>
          <w:b/>
          <w:i/>
          <w:sz w:val="24"/>
          <w:lang w:val="en-US" w:eastAsia="zh-CN"/>
        </w:rPr>
      </w:pPr>
      <w:r>
        <w:rPr>
          <w:rFonts w:ascii="Arial" w:hAnsi="Arial" w:cs="Arial"/>
          <w:b/>
          <w:sz w:val="24"/>
        </w:rPr>
        <w:t xml:space="preserve">3GPP TSG-RAN WG4 Meeting </w:t>
      </w:r>
      <w:r>
        <w:rPr>
          <w:rFonts w:hint="eastAsia" w:ascii="Arial" w:hAnsi="Arial" w:cs="Arial"/>
          <w:b/>
          <w:sz w:val="24"/>
          <w:lang w:eastAsia="zh-CN"/>
        </w:rPr>
        <w:t>#9</w:t>
      </w:r>
      <w:r>
        <w:rPr>
          <w:rFonts w:ascii="Arial" w:hAnsi="Arial" w:eastAsia="宋体" w:cs="Arial"/>
          <w:b/>
          <w:sz w:val="24"/>
          <w:lang w:eastAsia="zh-CN"/>
        </w:rPr>
        <w:t>8</w:t>
      </w:r>
      <w:r>
        <w:rPr>
          <w:rFonts w:hint="eastAsia" w:ascii="Arial" w:hAnsi="Arial" w:eastAsia="宋体" w:cs="Arial"/>
          <w:b/>
          <w:sz w:val="24"/>
          <w:lang w:val="en-US" w:eastAsia="zh-CN"/>
        </w:rPr>
        <w:t>bis</w:t>
      </w:r>
      <w:r>
        <w:rPr>
          <w:rFonts w:ascii="Arial" w:hAnsi="Arial" w:eastAsia="宋体" w:cs="Arial"/>
          <w:b/>
          <w:sz w:val="24"/>
          <w:lang w:eastAsia="zh-CN"/>
        </w:rPr>
        <w:t>-e</w:t>
      </w:r>
      <w:r>
        <w:rPr>
          <w:rFonts w:ascii="Arial" w:hAnsi="Arial" w:eastAsia="MS Mincho"/>
          <w:b/>
          <w:sz w:val="24"/>
        </w:rPr>
        <w:tab/>
      </w:r>
      <w:r>
        <w:rPr>
          <w:rFonts w:ascii="Arial" w:hAnsi="Arial"/>
          <w:b/>
          <w:sz w:val="24"/>
          <w:lang w:eastAsia="zh-CN"/>
        </w:rPr>
        <w:t>R4-210</w:t>
      </w:r>
      <w:r>
        <w:rPr>
          <w:rFonts w:hint="eastAsia" w:ascii="Arial" w:hAnsi="Arial" w:eastAsia="宋体"/>
          <w:b/>
          <w:sz w:val="24"/>
          <w:lang w:val="en-US" w:eastAsia="zh-CN"/>
        </w:rPr>
        <w:t>4921</w:t>
      </w:r>
    </w:p>
    <w:p>
      <w:pPr>
        <w:tabs>
          <w:tab w:val="left" w:pos="3106"/>
          <w:tab w:val="center" w:pos="4536"/>
          <w:tab w:val="right" w:pos="9072"/>
        </w:tabs>
        <w:jc w:val="both"/>
        <w:rPr>
          <w:rFonts w:ascii="Arial" w:hAnsi="Arial" w:eastAsia="宋体"/>
          <w:b/>
          <w:sz w:val="24"/>
          <w:lang w:val="en-GB" w:eastAsia="zh-CN"/>
        </w:rPr>
      </w:pPr>
      <w:r>
        <w:rPr>
          <w:rFonts w:ascii="Arial" w:hAnsi="Arial" w:eastAsia="宋体"/>
          <w:b/>
          <w:sz w:val="24"/>
          <w:lang w:eastAsia="zh-CN"/>
        </w:rPr>
        <w:t xml:space="preserve">Electronic Meeting, </w:t>
      </w:r>
      <w:r>
        <w:rPr>
          <w:rFonts w:hint="eastAsia" w:ascii="Arial" w:hAnsi="Arial" w:eastAsia="宋体"/>
          <w:b/>
          <w:sz w:val="24"/>
          <w:lang w:val="en-US" w:eastAsia="zh-CN"/>
        </w:rPr>
        <w:t>1</w:t>
      </w:r>
      <w:r>
        <w:rPr>
          <w:rFonts w:ascii="Arial" w:hAnsi="Arial" w:eastAsia="宋体"/>
          <w:b/>
          <w:sz w:val="24"/>
          <w:lang w:eastAsia="zh-CN"/>
        </w:rPr>
        <w:t>2</w:t>
      </w:r>
      <w:r>
        <w:rPr>
          <w:rFonts w:ascii="Arial" w:hAnsi="Arial" w:eastAsia="宋体"/>
          <w:b/>
          <w:sz w:val="24"/>
          <w:vertAlign w:val="superscript"/>
          <w:lang w:eastAsia="zh-CN"/>
        </w:rPr>
        <w:t>th</w:t>
      </w:r>
      <w:r>
        <w:rPr>
          <w:rFonts w:ascii="Arial" w:hAnsi="Arial" w:eastAsia="宋体"/>
          <w:b/>
          <w:sz w:val="24"/>
          <w:lang w:eastAsia="zh-CN"/>
        </w:rPr>
        <w:t xml:space="preserve"> </w:t>
      </w:r>
      <w:r>
        <w:rPr>
          <w:rFonts w:hint="eastAsia" w:ascii="Arial" w:hAnsi="Arial" w:eastAsia="宋体"/>
          <w:b/>
          <w:sz w:val="24"/>
          <w:lang w:val="en-US" w:eastAsia="zh-CN"/>
        </w:rPr>
        <w:t>April</w:t>
      </w:r>
      <w:bookmarkStart w:id="3" w:name="_GoBack"/>
      <w:bookmarkEnd w:id="3"/>
      <w:r>
        <w:rPr>
          <w:rFonts w:ascii="Arial" w:hAnsi="Arial" w:eastAsia="宋体"/>
          <w:b/>
          <w:sz w:val="24"/>
          <w:lang w:eastAsia="zh-CN"/>
        </w:rPr>
        <w:t xml:space="preserve">- </w:t>
      </w:r>
      <w:r>
        <w:rPr>
          <w:rFonts w:hint="eastAsia" w:ascii="Arial" w:hAnsi="Arial" w:eastAsia="宋体"/>
          <w:b/>
          <w:sz w:val="24"/>
          <w:lang w:val="en-US" w:eastAsia="zh-CN"/>
        </w:rPr>
        <w:t>20</w:t>
      </w:r>
      <w:r>
        <w:rPr>
          <w:rFonts w:ascii="Arial" w:hAnsi="Arial" w:eastAsia="宋体"/>
          <w:b/>
          <w:sz w:val="24"/>
          <w:vertAlign w:val="superscript"/>
          <w:lang w:eastAsia="zh-CN"/>
        </w:rPr>
        <w:t>th</w:t>
      </w:r>
      <w:r>
        <w:rPr>
          <w:rFonts w:ascii="Arial" w:hAnsi="Arial" w:eastAsia="宋体"/>
          <w:b/>
          <w:sz w:val="24"/>
          <w:lang w:eastAsia="zh-CN"/>
        </w:rPr>
        <w:t xml:space="preserve"> </w:t>
      </w:r>
      <w:r>
        <w:rPr>
          <w:rFonts w:hint="eastAsia" w:ascii="Arial" w:hAnsi="Arial" w:eastAsia="宋体"/>
          <w:b/>
          <w:sz w:val="24"/>
          <w:lang w:val="en-US" w:eastAsia="zh-CN"/>
        </w:rPr>
        <w:t>April</w:t>
      </w:r>
      <w:r>
        <w:rPr>
          <w:rFonts w:ascii="Arial" w:hAnsi="Arial" w:eastAsia="宋体"/>
          <w:b/>
          <w:sz w:val="24"/>
          <w:lang w:eastAsia="zh-CN"/>
        </w:rPr>
        <w:t>, 2021</w:t>
      </w:r>
    </w:p>
    <w:p>
      <w:pPr>
        <w:tabs>
          <w:tab w:val="left" w:pos="420"/>
          <w:tab w:val="left" w:pos="840"/>
          <w:tab w:val="left" w:pos="1260"/>
          <w:tab w:val="left" w:pos="1680"/>
          <w:tab w:val="left" w:pos="2100"/>
          <w:tab w:val="left" w:pos="2520"/>
        </w:tabs>
        <w:jc w:val="both"/>
        <w:rPr>
          <w:rFonts w:ascii="Arial" w:hAnsi="Arial" w:eastAsia="宋体"/>
          <w:b/>
          <w:sz w:val="24"/>
          <w:lang w:val="en-GB" w:eastAsia="zh-CN"/>
        </w:rPr>
      </w:pPr>
    </w:p>
    <w:p>
      <w:pPr>
        <w:pStyle w:val="13"/>
        <w:tabs>
          <w:tab w:val="left" w:pos="1800"/>
          <w:tab w:val="clear" w:pos="4536"/>
        </w:tabs>
        <w:spacing w:after="60"/>
        <w:ind w:left="1800" w:hanging="1800"/>
        <w:jc w:val="both"/>
        <w:rPr>
          <w:rFonts w:eastAsia="宋体"/>
          <w:sz w:val="24"/>
          <w:lang w:val="en-US" w:eastAsia="zh-CN"/>
        </w:rPr>
      </w:pPr>
      <w:r>
        <w:rPr>
          <w:sz w:val="24"/>
        </w:rPr>
        <w:t>Source:</w:t>
      </w:r>
      <w:r>
        <w:rPr>
          <w:sz w:val="24"/>
        </w:rPr>
        <w:tab/>
      </w:r>
      <w:r>
        <w:rPr>
          <w:rFonts w:eastAsia="宋体"/>
          <w:sz w:val="24"/>
          <w:lang w:val="en-US" w:eastAsia="zh-CN"/>
        </w:rPr>
        <w:t>ZTE Corporation</w:t>
      </w:r>
    </w:p>
    <w:p>
      <w:pPr>
        <w:pStyle w:val="13"/>
        <w:tabs>
          <w:tab w:val="left" w:pos="1800"/>
          <w:tab w:val="clear" w:pos="4536"/>
        </w:tabs>
        <w:spacing w:after="60"/>
        <w:ind w:left="1807" w:hanging="1807" w:hangingChars="750"/>
        <w:rPr>
          <w:rFonts w:hint="default" w:eastAsia="宋体"/>
          <w:sz w:val="24"/>
          <w:lang w:val="en-US" w:eastAsia="zh-CN"/>
        </w:rPr>
      </w:pPr>
      <w:r>
        <w:rPr>
          <w:sz w:val="24"/>
        </w:rPr>
        <w:t>Title:</w:t>
      </w:r>
      <w:r>
        <w:rPr>
          <w:sz w:val="24"/>
        </w:rPr>
        <w:tab/>
      </w:r>
      <w:r>
        <w:rPr>
          <w:rFonts w:hint="eastAsia" w:eastAsia="宋体"/>
          <w:sz w:val="24"/>
          <w:lang w:val="en-US" w:eastAsia="zh-CN"/>
        </w:rPr>
        <w:t>Views on pre-configured MG patterns</w:t>
      </w:r>
    </w:p>
    <w:p>
      <w:pPr>
        <w:pStyle w:val="13"/>
        <w:tabs>
          <w:tab w:val="left" w:pos="1800"/>
          <w:tab w:val="left" w:pos="3825"/>
          <w:tab w:val="clear" w:pos="4536"/>
          <w:tab w:val="clear" w:pos="9072"/>
        </w:tabs>
        <w:spacing w:after="60"/>
        <w:jc w:val="both"/>
        <w:rPr>
          <w:rFonts w:hint="default" w:eastAsia="宋体"/>
          <w:sz w:val="24"/>
          <w:lang w:val="en-US" w:eastAsia="zh-CN"/>
        </w:rPr>
      </w:pPr>
      <w:r>
        <w:rPr>
          <w:sz w:val="24"/>
        </w:rPr>
        <w:t>Agenda Item:</w:t>
      </w:r>
      <w:r>
        <w:rPr>
          <w:sz w:val="24"/>
        </w:rPr>
        <w:tab/>
      </w:r>
      <w:r>
        <w:rPr>
          <w:rFonts w:hint="eastAsia" w:eastAsia="宋体"/>
          <w:sz w:val="24"/>
          <w:lang w:val="en-US" w:eastAsia="zh-CN"/>
        </w:rPr>
        <w:t>8.5.2.1</w:t>
      </w:r>
    </w:p>
    <w:p>
      <w:pPr>
        <w:pStyle w:val="13"/>
        <w:tabs>
          <w:tab w:val="left" w:pos="1800"/>
        </w:tabs>
        <w:snapToGrid w:val="0"/>
        <w:spacing w:after="240"/>
        <w:jc w:val="both"/>
        <w:rPr>
          <w:rFonts w:eastAsia="宋体"/>
          <w:sz w:val="24"/>
          <w:lang w:val="en-US" w:eastAsia="zh-CN"/>
        </w:rPr>
      </w:pPr>
      <w:r>
        <w:rPr>
          <w:sz w:val="24"/>
        </w:rPr>
        <w:t>Document for:</w:t>
      </w:r>
      <w:r>
        <w:rPr>
          <w:sz w:val="24"/>
        </w:rPr>
        <w:tab/>
      </w:r>
      <w:r>
        <w:rPr>
          <w:rFonts w:eastAsia="宋体"/>
          <w:sz w:val="24"/>
          <w:lang w:val="en-US" w:eastAsia="zh-CN"/>
        </w:rPr>
        <w:t>Discussion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eastAsia="zh-CN"/>
        </w:rPr>
      </w:pPr>
      <w:r>
        <w:rPr>
          <w:rFonts w:eastAsia="宋体"/>
          <w:lang w:eastAsia="zh-CN"/>
        </w:rPr>
        <w:t>Introduction</w:t>
      </w:r>
    </w:p>
    <w:p>
      <w:pPr>
        <w:pStyle w:val="3"/>
        <w:tabs>
          <w:tab w:val="left" w:pos="226"/>
          <w:tab w:val="left" w:pos="284"/>
          <w:tab w:val="left" w:pos="5103"/>
        </w:tabs>
        <w:snapToGrid w:val="0"/>
        <w:spacing w:before="156" w:beforeLines="50"/>
        <w:rPr>
          <w:rFonts w:hint="default" w:eastAsia="宋体"/>
          <w:sz w:val="21"/>
          <w:szCs w:val="21"/>
          <w:lang w:val="en-US" w:eastAsia="zh-CN"/>
        </w:rPr>
      </w:pPr>
      <w:r>
        <w:rPr>
          <w:rFonts w:hint="default" w:eastAsia="宋体"/>
          <w:sz w:val="21"/>
          <w:szCs w:val="21"/>
          <w:lang w:val="en-US" w:eastAsia="zh-CN"/>
        </w:rPr>
        <w:t xml:space="preserve">In RAN#89 e-meeting, a new WI for NR and MR-DC measurement gap enhancements was approved [1]. One of the topics in this WI is pre-configured MG pattern(s) per configured BWP. </w:t>
      </w:r>
    </w:p>
    <w:tbl>
      <w:tblPr>
        <w:tblStyle w:val="18"/>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51" w:type="dxa"/>
          </w:tcPr>
          <w:p>
            <w:pPr>
              <w:pStyle w:val="14"/>
              <w:numPr>
                <w:ilvl w:val="0"/>
                <w:numId w:val="4"/>
              </w:numPr>
              <w:overflowPunct/>
              <w:autoSpaceDE/>
              <w:autoSpaceDN/>
              <w:adjustRightInd/>
              <w:spacing w:before="0" w:beforeAutospacing="0" w:after="120" w:afterAutospacing="0"/>
              <w:textAlignment w:val="auto"/>
              <w:rPr>
                <w:rFonts w:hint="default" w:ascii="Times New Roman" w:hAnsi="Times New Roman" w:cs="Times New Roman"/>
                <w:sz w:val="20"/>
                <w:szCs w:val="20"/>
              </w:rPr>
            </w:pPr>
            <w:r>
              <w:rPr>
                <w:rFonts w:hint="default" w:ascii="Times New Roman" w:hAnsi="Times New Roman" w:cs="Times New Roman"/>
                <w:sz w:val="20"/>
                <w:szCs w:val="20"/>
              </w:rPr>
              <w:t>RRM requirements for pre-configured MG pattern(s) [RAN4]</w:t>
            </w:r>
          </w:p>
          <w:p>
            <w:pPr>
              <w:pStyle w:val="14"/>
              <w:numPr>
                <w:ilvl w:val="2"/>
                <w:numId w:val="5"/>
              </w:numPr>
              <w:overflowPunct/>
              <w:autoSpaceDE/>
              <w:autoSpaceDN/>
              <w:adjustRightInd/>
              <w:spacing w:before="0" w:beforeAutospacing="0" w:after="120" w:afterAutospacing="0"/>
              <w:ind w:left="1037" w:hanging="317"/>
              <w:textAlignment w:val="auto"/>
              <w:rPr>
                <w:rFonts w:hint="default" w:ascii="Times New Roman" w:hAnsi="Times New Roman" w:cs="Times New Roman"/>
                <w:sz w:val="20"/>
                <w:szCs w:val="20"/>
              </w:rPr>
            </w:pPr>
            <w:r>
              <w:rPr>
                <w:rFonts w:hint="default" w:ascii="Times New Roman" w:hAnsi="Times New Roman" w:cs="Times New Roman"/>
                <w:sz w:val="20"/>
                <w:szCs w:val="20"/>
              </w:rPr>
              <w:t>Study requirements of the mechanisms of activation/deactivation of MG following a DCI or timer based BWP switch, e.g., per BWP MG configuration</w:t>
            </w:r>
          </w:p>
          <w:p>
            <w:pPr>
              <w:pStyle w:val="14"/>
              <w:numPr>
                <w:ilvl w:val="2"/>
                <w:numId w:val="5"/>
              </w:numPr>
              <w:overflowPunct/>
              <w:autoSpaceDE/>
              <w:autoSpaceDN/>
              <w:adjustRightInd/>
              <w:spacing w:before="0" w:beforeAutospacing="0" w:after="120" w:afterAutospacing="0"/>
              <w:ind w:left="1037" w:hanging="317"/>
              <w:textAlignment w:val="auto"/>
              <w:rPr>
                <w:rFonts w:hint="default" w:ascii="Times New Roman" w:hAnsi="Times New Roman" w:cs="Times New Roman"/>
                <w:sz w:val="20"/>
                <w:szCs w:val="20"/>
              </w:rPr>
            </w:pPr>
            <w:r>
              <w:rPr>
                <w:rFonts w:hint="default" w:ascii="Times New Roman" w:hAnsi="Times New Roman" w:cs="Times New Roman"/>
                <w:sz w:val="20"/>
                <w:szCs w:val="20"/>
              </w:rPr>
              <w:t>Specification of rules and UE behaviour for activation/deactivation of a MG following a DCI or timer based BWP switch</w:t>
            </w:r>
          </w:p>
          <w:p>
            <w:pPr>
              <w:pStyle w:val="14"/>
              <w:numPr>
                <w:ilvl w:val="2"/>
                <w:numId w:val="5"/>
              </w:numPr>
              <w:overflowPunct/>
              <w:autoSpaceDE/>
              <w:autoSpaceDN/>
              <w:adjustRightInd/>
              <w:spacing w:before="0" w:beforeAutospacing="0" w:after="120" w:afterAutospacing="0"/>
              <w:ind w:left="1037" w:hanging="317"/>
              <w:textAlignment w:val="auto"/>
              <w:rPr>
                <w:rFonts w:hint="default" w:ascii="Times New Roman" w:hAnsi="Times New Roman" w:cs="Times New Roman"/>
                <w:sz w:val="20"/>
                <w:szCs w:val="20"/>
              </w:rPr>
            </w:pPr>
            <w:r>
              <w:rPr>
                <w:rFonts w:hint="default" w:ascii="Times New Roman" w:hAnsi="Times New Roman" w:cs="Times New Roman"/>
                <w:sz w:val="20"/>
                <w:szCs w:val="20"/>
              </w:rPr>
              <w:t>Define measurement period requirements with pre-configured MG pattern(s) in the presence of one or more BWP switch per measurement period</w:t>
            </w:r>
          </w:p>
          <w:p>
            <w:pPr>
              <w:pStyle w:val="14"/>
              <w:numPr>
                <w:ilvl w:val="1"/>
                <w:numId w:val="4"/>
              </w:numPr>
              <w:overflowPunct/>
              <w:autoSpaceDE/>
              <w:autoSpaceDN/>
              <w:adjustRightInd/>
              <w:spacing w:before="0" w:beforeAutospacing="0" w:after="120" w:afterAutospacing="0"/>
              <w:ind w:left="317" w:hanging="357"/>
              <w:textAlignment w:val="auto"/>
              <w:rPr>
                <w:rFonts w:hint="default" w:ascii="Times New Roman" w:hAnsi="Times New Roman" w:cs="Times New Roman"/>
                <w:sz w:val="20"/>
                <w:szCs w:val="20"/>
              </w:rPr>
            </w:pPr>
            <w:r>
              <w:rPr>
                <w:rFonts w:hint="default" w:ascii="Times New Roman" w:hAnsi="Times New Roman" w:cs="Times New Roman"/>
                <w:sz w:val="20"/>
                <w:szCs w:val="20"/>
              </w:rPr>
              <w:t>Specification of applicability of pre-configured MG pattern(s) [RAN4]</w:t>
            </w:r>
          </w:p>
          <w:p>
            <w:pPr>
              <w:pStyle w:val="14"/>
              <w:numPr>
                <w:ilvl w:val="1"/>
                <w:numId w:val="4"/>
              </w:numPr>
              <w:overflowPunct/>
              <w:autoSpaceDE/>
              <w:autoSpaceDN/>
              <w:adjustRightInd/>
              <w:spacing w:before="0" w:beforeAutospacing="0" w:after="120" w:afterAutospacing="0"/>
              <w:ind w:left="317" w:hanging="357"/>
              <w:textAlignment w:val="auto"/>
              <w:rPr>
                <w:rFonts w:hint="default" w:ascii="Times New Roman" w:hAnsi="Times New Roman" w:cs="Times New Roman"/>
                <w:sz w:val="20"/>
                <w:szCs w:val="20"/>
              </w:rPr>
            </w:pPr>
            <w:r>
              <w:rPr>
                <w:rFonts w:hint="default" w:ascii="Times New Roman" w:hAnsi="Times New Roman" w:cs="Times New Roman"/>
                <w:sz w:val="20"/>
                <w:szCs w:val="20"/>
              </w:rPr>
              <w:t>Procedures and signaling for pre-configured MG pattern(s) [RAN2]</w:t>
            </w:r>
          </w:p>
          <w:p>
            <w:pPr>
              <w:pStyle w:val="14"/>
              <w:numPr>
                <w:ilvl w:val="2"/>
                <w:numId w:val="5"/>
              </w:numPr>
              <w:overflowPunct/>
              <w:autoSpaceDE/>
              <w:autoSpaceDN/>
              <w:adjustRightInd/>
              <w:spacing w:before="0" w:beforeAutospacing="0" w:after="120" w:afterAutospacing="0"/>
              <w:ind w:left="1037" w:hanging="317"/>
              <w:textAlignment w:val="auto"/>
              <w:rPr>
                <w:rFonts w:asciiTheme="minorHAnsi" w:hAnsiTheme="minorHAnsi"/>
                <w:sz w:val="22"/>
                <w:szCs w:val="22"/>
                <w:lang w:val="en-US"/>
              </w:rPr>
            </w:pPr>
            <w:r>
              <w:rPr>
                <w:rFonts w:hint="default" w:ascii="Times New Roman" w:hAnsi="Times New Roman" w:cs="Times New Roman"/>
                <w:sz w:val="20"/>
                <w:szCs w:val="20"/>
              </w:rPr>
              <w:t>Specification of protocol impacts of the mechanisms of activation/deactivation of MG following a DCI or timer based BWP switch, e.g., per BWP MG configuration based on RAN4 input</w:t>
            </w:r>
          </w:p>
        </w:tc>
      </w:tr>
    </w:tbl>
    <w:p>
      <w:pPr>
        <w:pStyle w:val="3"/>
        <w:tabs>
          <w:tab w:val="left" w:pos="226"/>
          <w:tab w:val="left" w:pos="284"/>
          <w:tab w:val="left" w:pos="5103"/>
        </w:tabs>
        <w:snapToGrid w:val="0"/>
        <w:spacing w:before="156" w:beforeLines="50"/>
        <w:rPr>
          <w:rFonts w:hint="default" w:eastAsia="宋体"/>
          <w:sz w:val="21"/>
          <w:szCs w:val="21"/>
          <w:lang w:val="en-US" w:eastAsia="zh-CN"/>
        </w:rPr>
      </w:pPr>
      <w:r>
        <w:rPr>
          <w:rFonts w:hint="default" w:eastAsia="宋体"/>
          <w:sz w:val="21"/>
          <w:szCs w:val="21"/>
          <w:lang w:val="en-US" w:eastAsia="zh-CN"/>
        </w:rPr>
        <w:t xml:space="preserve">In this contribution, we provide </w:t>
      </w:r>
      <w:r>
        <w:rPr>
          <w:rFonts w:hint="eastAsia" w:eastAsia="宋体"/>
          <w:sz w:val="21"/>
          <w:szCs w:val="21"/>
          <w:lang w:val="en-US" w:eastAsia="zh-CN"/>
        </w:rPr>
        <w:t>some discussions on the pre-configured MG patterns</w:t>
      </w:r>
      <w:r>
        <w:rPr>
          <w:rFonts w:hint="default" w:eastAsia="宋体"/>
          <w:sz w:val="21"/>
          <w:szCs w:val="21"/>
          <w:lang w:val="en-US" w:eastAsia="zh-CN"/>
        </w:rPr>
        <w:t>.</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eastAsia="zh-CN"/>
        </w:rPr>
      </w:pPr>
      <w:r>
        <w:rPr>
          <w:rFonts w:hint="eastAsia" w:eastAsia="宋体"/>
          <w:lang w:eastAsia="zh-CN"/>
        </w:rPr>
        <w:t>Discussion</w:t>
      </w:r>
    </w:p>
    <w:p>
      <w:pPr>
        <w:pStyle w:val="4"/>
        <w:bidi w:val="0"/>
        <w:rPr>
          <w:rFonts w:hint="default"/>
          <w:sz w:val="28"/>
          <w:szCs w:val="28"/>
          <w:lang w:val="en-US" w:eastAsia="zh-CN"/>
        </w:rPr>
      </w:pPr>
      <w:r>
        <w:rPr>
          <w:rFonts w:hint="eastAsia"/>
          <w:sz w:val="28"/>
          <w:szCs w:val="28"/>
          <w:lang w:val="en-US" w:eastAsia="zh-CN"/>
        </w:rPr>
        <w:t>2.1 Consideration on intra-frequency</w:t>
      </w:r>
    </w:p>
    <w:p>
      <w:pPr>
        <w:pStyle w:val="3"/>
        <w:tabs>
          <w:tab w:val="left" w:pos="226"/>
          <w:tab w:val="left" w:pos="284"/>
          <w:tab w:val="left" w:pos="5103"/>
        </w:tabs>
        <w:snapToGrid w:val="0"/>
        <w:rPr>
          <w:rFonts w:hint="eastAsia" w:eastAsia="宋体"/>
          <w:sz w:val="21"/>
          <w:szCs w:val="21"/>
          <w:lang w:val="en-GB" w:eastAsia="zh-CN"/>
        </w:rPr>
      </w:pPr>
      <w:r>
        <w:rPr>
          <w:rFonts w:hint="eastAsia" w:eastAsia="宋体"/>
          <w:sz w:val="21"/>
          <w:szCs w:val="21"/>
          <w:lang w:val="en-GB" w:eastAsia="zh-CN"/>
        </w:rPr>
        <w:t xml:space="preserve">In Rel-15, UE can preform </w:t>
      </w:r>
      <w:r>
        <w:rPr>
          <w:rFonts w:eastAsia="宋体"/>
          <w:sz w:val="21"/>
          <w:szCs w:val="21"/>
          <w:lang w:val="en-GB" w:eastAsia="zh-CN"/>
        </w:rPr>
        <w:t>intra-frequency SSB based measurement without measurement gaps</w:t>
      </w:r>
      <w:r>
        <w:rPr>
          <w:rFonts w:hint="eastAsia" w:eastAsia="宋体"/>
          <w:sz w:val="21"/>
          <w:szCs w:val="21"/>
          <w:lang w:val="en-GB" w:eastAsia="zh-CN"/>
        </w:rPr>
        <w:t xml:space="preserve"> if:</w:t>
      </w:r>
    </w:p>
    <w:p>
      <w:pPr>
        <w:pStyle w:val="3"/>
        <w:tabs>
          <w:tab w:val="left" w:pos="226"/>
          <w:tab w:val="left" w:pos="284"/>
          <w:tab w:val="left" w:pos="5103"/>
        </w:tabs>
        <w:snapToGrid w:val="0"/>
        <w:rPr>
          <w:rFonts w:hint="eastAsia" w:eastAsia="宋体"/>
          <w:sz w:val="21"/>
          <w:szCs w:val="21"/>
          <w:lang w:val="en-GB" w:eastAsia="zh-CN"/>
        </w:rPr>
      </w:pPr>
      <w:r>
        <w:rPr>
          <w:rFonts w:hint="eastAsia" w:eastAsia="宋体"/>
          <w:sz w:val="21"/>
          <w:szCs w:val="21"/>
          <w:lang w:val="en-GB" w:eastAsia="zh-CN"/>
        </w:rPr>
        <w:t>-</w:t>
      </w:r>
      <w:r>
        <w:rPr>
          <w:rFonts w:hint="eastAsia" w:eastAsia="宋体"/>
          <w:sz w:val="21"/>
          <w:szCs w:val="21"/>
          <w:lang w:val="en-GB" w:eastAsia="zh-CN"/>
        </w:rPr>
        <w:tab/>
      </w:r>
      <w:r>
        <w:rPr>
          <w:rFonts w:hint="eastAsia" w:eastAsia="宋体"/>
          <w:sz w:val="21"/>
          <w:szCs w:val="21"/>
          <w:lang w:val="en-GB" w:eastAsia="zh-CN"/>
        </w:rPr>
        <w:t xml:space="preserve">the UE indicates </w:t>
      </w:r>
      <w:r>
        <w:rPr>
          <w:rFonts w:hint="default" w:eastAsia="宋体"/>
          <w:sz w:val="21"/>
          <w:szCs w:val="21"/>
          <w:lang w:val="en-US" w:eastAsia="zh-CN"/>
        </w:rPr>
        <w:t>‘</w:t>
      </w:r>
      <w:r>
        <w:rPr>
          <w:rFonts w:hint="eastAsia" w:eastAsia="宋体"/>
          <w:sz w:val="21"/>
          <w:szCs w:val="21"/>
          <w:lang w:val="en-GB" w:eastAsia="zh-CN"/>
        </w:rPr>
        <w:t>no-gap</w:t>
      </w:r>
      <w:r>
        <w:rPr>
          <w:rFonts w:hint="default" w:eastAsia="宋体"/>
          <w:sz w:val="21"/>
          <w:szCs w:val="21"/>
          <w:lang w:val="en-US" w:eastAsia="zh-CN"/>
        </w:rPr>
        <w:t>’</w:t>
      </w:r>
      <w:r>
        <w:rPr>
          <w:rFonts w:hint="eastAsia" w:eastAsia="宋体"/>
          <w:sz w:val="21"/>
          <w:szCs w:val="21"/>
          <w:lang w:val="en-GB" w:eastAsia="zh-CN"/>
        </w:rPr>
        <w:t xml:space="preserve"> via intraFreq-needForGap for intra-frequency measurement, or</w:t>
      </w:r>
    </w:p>
    <w:p>
      <w:pPr>
        <w:pStyle w:val="3"/>
        <w:tabs>
          <w:tab w:val="left" w:pos="226"/>
          <w:tab w:val="left" w:pos="284"/>
          <w:tab w:val="left" w:pos="5103"/>
        </w:tabs>
        <w:snapToGrid w:val="0"/>
        <w:rPr>
          <w:rFonts w:hint="eastAsia" w:eastAsia="宋体"/>
          <w:sz w:val="21"/>
          <w:szCs w:val="21"/>
          <w:lang w:val="en-GB" w:eastAsia="zh-CN"/>
        </w:rPr>
      </w:pPr>
      <w:r>
        <w:rPr>
          <w:rFonts w:hint="eastAsia" w:eastAsia="宋体"/>
          <w:sz w:val="21"/>
          <w:szCs w:val="21"/>
          <w:lang w:val="en-GB" w:eastAsia="zh-CN"/>
        </w:rPr>
        <w:t>-</w:t>
      </w:r>
      <w:r>
        <w:rPr>
          <w:rFonts w:hint="eastAsia" w:eastAsia="宋体"/>
          <w:sz w:val="21"/>
          <w:szCs w:val="21"/>
          <w:lang w:val="en-GB" w:eastAsia="zh-CN"/>
        </w:rPr>
        <w:tab/>
      </w:r>
      <w:r>
        <w:rPr>
          <w:rFonts w:hint="eastAsia" w:eastAsia="宋体"/>
          <w:sz w:val="21"/>
          <w:szCs w:val="21"/>
          <w:lang w:val="en-GB" w:eastAsia="zh-CN"/>
        </w:rPr>
        <w:t>the SSB is completely contained in the active BWP of the UE, or</w:t>
      </w:r>
    </w:p>
    <w:p>
      <w:pPr>
        <w:pStyle w:val="3"/>
        <w:tabs>
          <w:tab w:val="left" w:pos="226"/>
          <w:tab w:val="left" w:pos="284"/>
          <w:tab w:val="left" w:pos="5103"/>
        </w:tabs>
        <w:snapToGrid w:val="0"/>
        <w:rPr>
          <w:rFonts w:hint="default" w:eastAsia="宋体"/>
          <w:sz w:val="21"/>
          <w:szCs w:val="21"/>
          <w:lang w:val="en-US" w:eastAsia="zh-CN"/>
        </w:rPr>
      </w:pPr>
      <w:r>
        <w:rPr>
          <w:rFonts w:hint="eastAsia" w:eastAsia="宋体"/>
          <w:sz w:val="21"/>
          <w:szCs w:val="21"/>
          <w:lang w:val="en-GB" w:eastAsia="zh-CN"/>
        </w:rPr>
        <w:t>-</w:t>
      </w:r>
      <w:r>
        <w:rPr>
          <w:rFonts w:hint="eastAsia" w:eastAsia="宋体"/>
          <w:sz w:val="21"/>
          <w:szCs w:val="21"/>
          <w:lang w:val="en-GB" w:eastAsia="zh-CN"/>
        </w:rPr>
        <w:tab/>
      </w:r>
      <w:r>
        <w:rPr>
          <w:rFonts w:hint="eastAsia" w:eastAsia="宋体"/>
          <w:sz w:val="21"/>
          <w:szCs w:val="21"/>
          <w:lang w:val="en-GB" w:eastAsia="zh-CN"/>
        </w:rPr>
        <w:t>the active downlink BWP is initial BWP.</w:t>
      </w:r>
    </w:p>
    <w:p>
      <w:pPr>
        <w:pStyle w:val="3"/>
        <w:tabs>
          <w:tab w:val="left" w:pos="226"/>
          <w:tab w:val="left" w:pos="284"/>
          <w:tab w:val="left" w:pos="5103"/>
        </w:tabs>
        <w:snapToGrid w:val="0"/>
        <w:rPr>
          <w:rFonts w:hint="eastAsia" w:eastAsia="宋体"/>
          <w:sz w:val="21"/>
          <w:szCs w:val="21"/>
          <w:lang w:val="en-US" w:eastAsia="zh-CN"/>
        </w:rPr>
      </w:pPr>
      <w:r>
        <w:rPr>
          <w:rFonts w:hint="eastAsia" w:eastAsia="宋体"/>
          <w:sz w:val="21"/>
          <w:szCs w:val="21"/>
          <w:lang w:val="en-US" w:eastAsia="zh-CN"/>
        </w:rPr>
        <w:t xml:space="preserve">For the first case, specific UE capability is needed. From the last two cases, it can be concluded that the SSB on which intra-frequency measurements are done need to be within the active BWP of the UE. </w:t>
      </w:r>
    </w:p>
    <w:p>
      <w:pPr>
        <w:pStyle w:val="3"/>
        <w:tabs>
          <w:tab w:val="left" w:pos="226"/>
          <w:tab w:val="left" w:pos="284"/>
          <w:tab w:val="left" w:pos="5103"/>
        </w:tabs>
        <w:snapToGrid w:val="0"/>
        <w:rPr>
          <w:rFonts w:hint="eastAsia" w:eastAsia="宋体"/>
          <w:sz w:val="21"/>
          <w:szCs w:val="21"/>
          <w:lang w:val="en-US" w:eastAsia="zh-CN"/>
        </w:rPr>
      </w:pPr>
      <w:r>
        <w:rPr>
          <w:rFonts w:hint="eastAsia" w:eastAsia="宋体"/>
          <w:sz w:val="21"/>
          <w:szCs w:val="21"/>
          <w:lang w:val="en-US" w:eastAsia="zh-CN"/>
        </w:rPr>
        <w:t>In Rel-15 and Rel-16, based on the UE capability, per UE MG or per FR MG can be configured to the UE by gNB, no matter which type of MG, only one MG can be configured, so the scheduling limitation caused by the per UE MG or per FR MG is applicable to the whole serving cell in frequency domain. But according to [2], at most four BWPs can be configured for each serving cell, only one BWP can be active at one time. Active BWP switching can be triggered by DCI or timer. Therefore, the configured per UE MG or per FR MG is applicable to every active BWP, even though the active BWP can fully contain the SSB in frequency domain. Actually for the case of active BWP fully containing the SSB, measurement without gap should be done, but since no MG de-configure or MG active/deactive mechanism exists, so once per UE MG or per FR MG configured by gNB, UE can not realize measurement without gap no matter whether the active BWP contains the SSB in frequency domain, data scheduling is not allowed during MG occasions, resulting in unnecessary resource waste, and deteriarate the resource utilization. So, pre-configured gap pattern mechanism is proposed as an optimization solution.</w:t>
      </w:r>
    </w:p>
    <w:p>
      <w:pPr>
        <w:pStyle w:val="3"/>
        <w:tabs>
          <w:tab w:val="left" w:pos="226"/>
          <w:tab w:val="left" w:pos="284"/>
          <w:tab w:val="left" w:pos="5103"/>
        </w:tabs>
        <w:snapToGrid w:val="0"/>
        <w:rPr>
          <w:rFonts w:hint="eastAsia" w:eastAsia="宋体"/>
          <w:sz w:val="21"/>
          <w:szCs w:val="21"/>
          <w:lang w:val="en-US" w:eastAsia="zh-CN"/>
        </w:rPr>
      </w:pPr>
      <w:r>
        <w:rPr>
          <w:rFonts w:hint="eastAsia" w:eastAsia="宋体"/>
          <w:sz w:val="21"/>
          <w:szCs w:val="21"/>
          <w:lang w:val="en-US" w:eastAsia="zh-CN"/>
        </w:rPr>
        <w:t>From our perspective, introducing dynamic MG on/off according to the active BWP dynamic switching, can be the the simplest and most effective solution mechanism, which enables the UE to be flexibly switched between measurement with gap and measurement without gap. All the possible scenarios are analyzed as follow.</w:t>
      </w:r>
    </w:p>
    <w:p>
      <w:pPr>
        <w:numPr>
          <w:ilvl w:val="0"/>
          <w:numId w:val="6"/>
        </w:numPr>
        <w:ind w:left="420" w:leftChars="0" w:hanging="420" w:firstLineChars="0"/>
        <w:rPr>
          <w:rFonts w:hint="default"/>
          <w:lang w:val="en-US" w:eastAsia="zh-CN"/>
        </w:rPr>
      </w:pPr>
      <w:r>
        <w:rPr>
          <w:rFonts w:hint="eastAsia"/>
          <w:lang w:val="en-US" w:eastAsia="zh-CN"/>
        </w:rPr>
        <w:t>Scenario 1: All BWPs can fully contain SSB in frequency domain, MG is not needed at all</w:t>
      </w:r>
    </w:p>
    <w:p>
      <w:pPr>
        <w:numPr>
          <w:ilvl w:val="0"/>
          <w:numId w:val="6"/>
        </w:numPr>
        <w:ind w:left="420" w:leftChars="0" w:hanging="420" w:firstLineChars="0"/>
        <w:rPr>
          <w:rFonts w:hint="default"/>
          <w:lang w:val="en-US" w:eastAsia="zh-CN"/>
        </w:rPr>
      </w:pPr>
      <w:r>
        <w:rPr>
          <w:rFonts w:hint="eastAsia"/>
          <w:lang w:val="en-US" w:eastAsia="zh-CN"/>
        </w:rPr>
        <w:t>Scenario 2: No BWP can fully contain SSB in frequency domain, MG is needed</w:t>
      </w:r>
    </w:p>
    <w:p>
      <w:pPr>
        <w:numPr>
          <w:ilvl w:val="0"/>
          <w:numId w:val="6"/>
        </w:numPr>
        <w:ind w:left="420" w:leftChars="0" w:hanging="420" w:firstLineChars="0"/>
        <w:rPr>
          <w:rFonts w:hint="eastAsia"/>
          <w:lang w:val="en-US" w:eastAsia="zh-CN"/>
        </w:rPr>
      </w:pPr>
      <w:r>
        <w:rPr>
          <w:rFonts w:hint="eastAsia"/>
          <w:lang w:val="en-US" w:eastAsia="zh-CN"/>
        </w:rPr>
        <w:t>Scenario 3: BWP{1 2} can fully contain SSB, but BWP{3 4} can not fully contain SSB, MG is needed. The active BWP switching from BWP#1 to BWP#3</w:t>
      </w:r>
    </w:p>
    <w:p>
      <w:pPr>
        <w:numPr>
          <w:ilvl w:val="0"/>
          <w:numId w:val="6"/>
        </w:numPr>
        <w:ind w:left="420" w:leftChars="0" w:hanging="420" w:firstLineChars="0"/>
        <w:rPr>
          <w:rFonts w:hint="eastAsia"/>
          <w:lang w:val="en-US" w:eastAsia="zh-CN"/>
        </w:rPr>
      </w:pPr>
      <w:r>
        <w:rPr>
          <w:rFonts w:hint="eastAsia"/>
          <w:lang w:val="en-US" w:eastAsia="zh-CN"/>
        </w:rPr>
        <w:t>Scenario 4: BWP{1 2} can fully contain SSB, but BWP{3 4} can not fully contain SSB, MG is needed. The active BWP switching from BWP#3 to BWP#1</w:t>
      </w:r>
    </w:p>
    <w:p>
      <w:pPr>
        <w:numPr>
          <w:ilvl w:val="0"/>
          <w:numId w:val="6"/>
        </w:numPr>
        <w:ind w:left="420" w:leftChars="0" w:hanging="420" w:firstLineChars="0"/>
        <w:rPr>
          <w:rFonts w:hint="default"/>
          <w:lang w:val="en-US" w:eastAsia="zh-CN"/>
        </w:rPr>
      </w:pPr>
      <w:r>
        <w:rPr>
          <w:rFonts w:hint="eastAsia"/>
          <w:lang w:val="en-US" w:eastAsia="zh-CN"/>
        </w:rPr>
        <w:t>Scenario 5: BWP{1 2} can fully contain SSB, but BWP{3 4} can not fully contain SSB, MG is needed. The active BWP switching from BWP#1 to BWP#2</w:t>
      </w:r>
    </w:p>
    <w:p>
      <w:pPr>
        <w:numPr>
          <w:ilvl w:val="0"/>
          <w:numId w:val="6"/>
        </w:numPr>
        <w:ind w:left="420" w:leftChars="0" w:hanging="420" w:firstLineChars="0"/>
        <w:rPr>
          <w:rFonts w:hint="default"/>
          <w:lang w:val="en-US" w:eastAsia="zh-CN"/>
        </w:rPr>
      </w:pPr>
      <w:r>
        <w:rPr>
          <w:rFonts w:hint="eastAsia"/>
          <w:lang w:val="en-US" w:eastAsia="zh-CN"/>
        </w:rPr>
        <w:t>Scenario 6: BWP{1 2} can fully contain SSB, but BWP{3 4} can not fully contain SSB, MG is needed. The active BWP switching from BWP#3 to BWP#4</w:t>
      </w:r>
    </w:p>
    <w:p>
      <w:pPr>
        <w:pStyle w:val="3"/>
        <w:tabs>
          <w:tab w:val="left" w:pos="226"/>
          <w:tab w:val="left" w:pos="284"/>
          <w:tab w:val="left" w:pos="5103"/>
        </w:tabs>
        <w:snapToGrid w:val="0"/>
        <w:rPr>
          <w:rFonts w:hint="default" w:eastAsia="宋体"/>
          <w:sz w:val="21"/>
          <w:szCs w:val="21"/>
          <w:lang w:val="en-US" w:eastAsia="zh-CN"/>
        </w:rPr>
      </w:pPr>
      <w:r>
        <w:rPr>
          <w:rFonts w:hint="default" w:eastAsia="宋体"/>
          <w:sz w:val="21"/>
          <w:szCs w:val="21"/>
          <w:lang w:val="en-US" w:eastAsia="zh-CN"/>
        </w:rPr>
        <w:t xml:space="preserve">For Scenario 1, no MG is needed, an appropriate operation for gNB is not configuring any MG for UE. </w:t>
      </w:r>
    </w:p>
    <w:p>
      <w:pPr>
        <w:pStyle w:val="3"/>
        <w:tabs>
          <w:tab w:val="left" w:pos="226"/>
          <w:tab w:val="left" w:pos="284"/>
          <w:tab w:val="left" w:pos="5103"/>
        </w:tabs>
        <w:snapToGrid w:val="0"/>
        <w:rPr>
          <w:rFonts w:hint="eastAsia" w:eastAsia="宋体"/>
          <w:sz w:val="21"/>
          <w:szCs w:val="21"/>
          <w:lang w:val="en-US" w:eastAsia="zh-CN"/>
        </w:rPr>
      </w:pPr>
      <w:r>
        <w:rPr>
          <w:rFonts w:hint="default" w:eastAsia="宋体"/>
          <w:sz w:val="21"/>
          <w:szCs w:val="21"/>
          <w:lang w:val="en-US" w:eastAsia="zh-CN"/>
        </w:rPr>
        <w:t xml:space="preserve">For Scenario 2, no matter which BWP is active, MG is always needed, so just configuring one </w:t>
      </w:r>
      <w:r>
        <w:rPr>
          <w:rFonts w:hint="eastAsia" w:eastAsia="宋体"/>
          <w:sz w:val="21"/>
          <w:szCs w:val="21"/>
          <w:lang w:val="en-US" w:eastAsia="zh-CN"/>
        </w:rPr>
        <w:t xml:space="preserve">per UE </w:t>
      </w:r>
      <w:r>
        <w:rPr>
          <w:rFonts w:hint="default" w:eastAsia="宋体"/>
          <w:sz w:val="21"/>
          <w:szCs w:val="21"/>
          <w:lang w:val="en-US" w:eastAsia="zh-CN"/>
        </w:rPr>
        <w:t xml:space="preserve">MG </w:t>
      </w:r>
      <w:r>
        <w:rPr>
          <w:rFonts w:hint="eastAsia" w:eastAsia="宋体"/>
          <w:sz w:val="21"/>
          <w:szCs w:val="21"/>
          <w:lang w:val="en-US" w:eastAsia="zh-CN"/>
        </w:rPr>
        <w:t xml:space="preserve">or per FR MG </w:t>
      </w:r>
      <w:r>
        <w:rPr>
          <w:rFonts w:hint="default" w:eastAsia="宋体"/>
          <w:sz w:val="21"/>
          <w:szCs w:val="21"/>
          <w:lang w:val="en-US" w:eastAsia="zh-CN"/>
        </w:rPr>
        <w:t>for the UE is enough, not need to consider any add</w:t>
      </w:r>
      <w:r>
        <w:rPr>
          <w:rFonts w:hint="eastAsia" w:eastAsia="宋体"/>
          <w:sz w:val="21"/>
          <w:szCs w:val="21"/>
          <w:lang w:val="en-US" w:eastAsia="zh-CN"/>
        </w:rPr>
        <w:t>i</w:t>
      </w:r>
      <w:r>
        <w:rPr>
          <w:rFonts w:hint="default" w:eastAsia="宋体"/>
          <w:sz w:val="21"/>
          <w:szCs w:val="21"/>
          <w:lang w:val="en-US" w:eastAsia="zh-CN"/>
        </w:rPr>
        <w:t xml:space="preserve">tional </w:t>
      </w:r>
      <w:r>
        <w:rPr>
          <w:rFonts w:hint="eastAsia" w:eastAsia="宋体"/>
          <w:sz w:val="21"/>
          <w:szCs w:val="21"/>
          <w:lang w:val="en-US" w:eastAsia="zh-CN"/>
        </w:rPr>
        <w:t>optimization.</w:t>
      </w:r>
    </w:p>
    <w:p>
      <w:pPr>
        <w:pStyle w:val="3"/>
        <w:tabs>
          <w:tab w:val="left" w:pos="226"/>
          <w:tab w:val="left" w:pos="284"/>
          <w:tab w:val="left" w:pos="5103"/>
        </w:tabs>
        <w:snapToGrid w:val="0"/>
        <w:rPr>
          <w:rFonts w:hint="default" w:eastAsia="宋体"/>
          <w:sz w:val="21"/>
          <w:szCs w:val="21"/>
          <w:lang w:val="en-US" w:eastAsia="zh-CN"/>
        </w:rPr>
      </w:pPr>
      <w:r>
        <w:rPr>
          <w:rFonts w:hint="default" w:eastAsia="宋体"/>
          <w:sz w:val="21"/>
          <w:szCs w:val="21"/>
          <w:lang w:val="en-US" w:eastAsia="zh-CN"/>
        </w:rPr>
        <w:t xml:space="preserve">For Scenario 3 and 4, the requirement for MG changes before and after BWP switching. If UE switches to the active BWP which can not fully contain SSB, such as BWP#3 or #4, UE can use the configured MG to </w:t>
      </w:r>
      <w:r>
        <w:rPr>
          <w:rFonts w:hint="eastAsia" w:eastAsia="宋体"/>
          <w:sz w:val="21"/>
          <w:szCs w:val="21"/>
          <w:lang w:val="en-US" w:eastAsia="zh-CN"/>
        </w:rPr>
        <w:t xml:space="preserve">execute </w:t>
      </w:r>
      <w:r>
        <w:rPr>
          <w:rFonts w:hint="default" w:eastAsia="宋体"/>
          <w:sz w:val="21"/>
          <w:szCs w:val="21"/>
          <w:lang w:val="en-US" w:eastAsia="zh-CN"/>
        </w:rPr>
        <w:t>measurement</w:t>
      </w:r>
      <w:r>
        <w:rPr>
          <w:rFonts w:hint="eastAsia" w:eastAsia="宋体"/>
          <w:sz w:val="21"/>
          <w:szCs w:val="21"/>
          <w:lang w:val="en-US" w:eastAsia="zh-CN"/>
        </w:rPr>
        <w:t xml:space="preserve"> with gap</w:t>
      </w:r>
      <w:r>
        <w:rPr>
          <w:rFonts w:hint="default" w:eastAsia="宋体"/>
          <w:sz w:val="21"/>
          <w:szCs w:val="21"/>
          <w:lang w:val="en-US" w:eastAsia="zh-CN"/>
        </w:rPr>
        <w:t>. But if UE switches to the active BWP which can fully contain SSB, such as BWP#1 or #</w:t>
      </w:r>
      <w:r>
        <w:rPr>
          <w:rFonts w:hint="eastAsia" w:eastAsia="宋体"/>
          <w:sz w:val="21"/>
          <w:szCs w:val="21"/>
          <w:lang w:val="en-US" w:eastAsia="zh-CN"/>
        </w:rPr>
        <w:t>2</w:t>
      </w:r>
      <w:r>
        <w:rPr>
          <w:rFonts w:hint="default" w:eastAsia="宋体"/>
          <w:sz w:val="21"/>
          <w:szCs w:val="21"/>
          <w:lang w:val="en-US" w:eastAsia="zh-CN"/>
        </w:rPr>
        <w:t xml:space="preserve">, actually no MG is needed, so </w:t>
      </w:r>
      <w:r>
        <w:rPr>
          <w:rFonts w:hint="eastAsia" w:eastAsia="宋体"/>
          <w:sz w:val="21"/>
          <w:szCs w:val="21"/>
          <w:lang w:val="en-US" w:eastAsia="zh-CN"/>
        </w:rPr>
        <w:t xml:space="preserve">dynamic </w:t>
      </w:r>
      <w:r>
        <w:rPr>
          <w:rFonts w:hint="default" w:eastAsia="宋体"/>
          <w:sz w:val="21"/>
          <w:szCs w:val="21"/>
          <w:lang w:val="en-US" w:eastAsia="zh-CN"/>
        </w:rPr>
        <w:t>MG on/off mechanism</w:t>
      </w:r>
      <w:r>
        <w:rPr>
          <w:rFonts w:hint="eastAsia" w:eastAsia="宋体"/>
          <w:sz w:val="21"/>
          <w:szCs w:val="21"/>
          <w:lang w:val="en-US" w:eastAsia="zh-CN"/>
        </w:rPr>
        <w:t xml:space="preserve"> is needed.</w:t>
      </w:r>
    </w:p>
    <w:p>
      <w:pPr>
        <w:pStyle w:val="3"/>
        <w:tabs>
          <w:tab w:val="left" w:pos="226"/>
          <w:tab w:val="left" w:pos="284"/>
          <w:tab w:val="left" w:pos="5103"/>
        </w:tabs>
        <w:snapToGrid w:val="0"/>
        <w:rPr>
          <w:rFonts w:hint="eastAsia" w:eastAsia="宋体"/>
          <w:sz w:val="21"/>
          <w:szCs w:val="21"/>
          <w:lang w:val="en-US" w:eastAsia="zh-CN"/>
        </w:rPr>
      </w:pPr>
      <w:r>
        <w:rPr>
          <w:rFonts w:hint="default" w:eastAsia="宋体"/>
          <w:sz w:val="21"/>
          <w:szCs w:val="21"/>
          <w:lang w:val="en-US" w:eastAsia="zh-CN"/>
        </w:rPr>
        <w:t>For Scenario 5 and 6, the potential BWP switching</w:t>
      </w:r>
      <w:r>
        <w:rPr>
          <w:rFonts w:hint="eastAsia" w:eastAsia="宋体"/>
          <w:sz w:val="21"/>
          <w:szCs w:val="21"/>
          <w:lang w:val="en-US" w:eastAsia="zh-CN"/>
        </w:rPr>
        <w:t xml:space="preserve"> cases</w:t>
      </w:r>
      <w:r>
        <w:rPr>
          <w:rFonts w:hint="default" w:eastAsia="宋体"/>
          <w:sz w:val="21"/>
          <w:szCs w:val="21"/>
          <w:lang w:val="en-US" w:eastAsia="zh-CN"/>
        </w:rPr>
        <w:t xml:space="preserve"> like Scenario 3 and 4 may happen</w:t>
      </w:r>
      <w:r>
        <w:rPr>
          <w:rFonts w:hint="eastAsia" w:eastAsia="宋体"/>
          <w:sz w:val="21"/>
          <w:szCs w:val="21"/>
          <w:lang w:val="en-US" w:eastAsia="zh-CN"/>
        </w:rPr>
        <w:t>, so the same as Scenario 3 and 4.</w:t>
      </w:r>
    </w:p>
    <w:p>
      <w:pPr>
        <w:pStyle w:val="3"/>
        <w:tabs>
          <w:tab w:val="left" w:pos="226"/>
          <w:tab w:val="left" w:pos="284"/>
          <w:tab w:val="left" w:pos="5103"/>
        </w:tabs>
        <w:snapToGrid w:val="0"/>
        <w:rPr>
          <w:rFonts w:hint="eastAsia" w:eastAsia="宋体"/>
          <w:sz w:val="21"/>
          <w:szCs w:val="21"/>
          <w:lang w:val="en-US" w:eastAsia="zh-CN"/>
        </w:rPr>
      </w:pPr>
      <w:r>
        <w:rPr>
          <w:rFonts w:hint="default" w:eastAsia="宋体"/>
          <w:sz w:val="21"/>
          <w:szCs w:val="21"/>
          <w:lang w:val="en-US" w:eastAsia="zh-CN"/>
        </w:rPr>
        <w:t>Therefore, from the perspective of configuration, the MG configuration can be the same as legacy R</w:t>
      </w:r>
      <w:r>
        <w:rPr>
          <w:rFonts w:hint="eastAsia" w:eastAsia="宋体"/>
          <w:sz w:val="21"/>
          <w:szCs w:val="21"/>
          <w:lang w:val="en-US" w:eastAsia="zh-CN"/>
        </w:rPr>
        <w:t>el-</w:t>
      </w:r>
      <w:r>
        <w:rPr>
          <w:rFonts w:hint="default" w:eastAsia="宋体"/>
          <w:sz w:val="21"/>
          <w:szCs w:val="21"/>
          <w:lang w:val="en-US" w:eastAsia="zh-CN"/>
        </w:rPr>
        <w:t xml:space="preserve">15/16, the additional enhancement should be </w:t>
      </w:r>
      <w:r>
        <w:rPr>
          <w:rFonts w:hint="eastAsia" w:eastAsia="宋体"/>
          <w:sz w:val="21"/>
          <w:szCs w:val="21"/>
          <w:lang w:val="en-US" w:eastAsia="zh-CN"/>
        </w:rPr>
        <w:t xml:space="preserve">introducing </w:t>
      </w:r>
      <w:r>
        <w:rPr>
          <w:rFonts w:hint="default" w:eastAsia="宋体"/>
          <w:sz w:val="21"/>
          <w:szCs w:val="21"/>
          <w:lang w:val="en-US" w:eastAsia="zh-CN"/>
        </w:rPr>
        <w:t xml:space="preserve">the dynamic on/off </w:t>
      </w:r>
      <w:r>
        <w:rPr>
          <w:rFonts w:hint="eastAsia" w:eastAsia="宋体"/>
          <w:sz w:val="21"/>
          <w:szCs w:val="21"/>
          <w:lang w:val="en-US" w:eastAsia="zh-CN"/>
        </w:rPr>
        <w:t>mechanism for</w:t>
      </w:r>
      <w:r>
        <w:rPr>
          <w:rFonts w:hint="default" w:eastAsia="宋体"/>
          <w:sz w:val="21"/>
          <w:szCs w:val="21"/>
          <w:lang w:val="en-US" w:eastAsia="zh-CN"/>
        </w:rPr>
        <w:t xml:space="preserve"> the configured MG. Once the active BWP can fully contain the SSB, the configured MG is off, the gNB can schedule data transmission on the MG occasion, so that more efficient resource utilization can be achieved.</w:t>
      </w:r>
      <w:r>
        <w:rPr>
          <w:rFonts w:hint="eastAsia" w:eastAsia="宋体"/>
          <w:sz w:val="21"/>
          <w:szCs w:val="21"/>
          <w:lang w:val="en-US" w:eastAsia="zh-CN"/>
        </w:rPr>
        <w:t xml:space="preserve"> Only if the active BWP can not fully contain the SSB, the configured MG is on.</w:t>
      </w:r>
    </w:p>
    <w:p>
      <w:pPr>
        <w:pStyle w:val="3"/>
        <w:tabs>
          <w:tab w:val="left" w:pos="226"/>
          <w:tab w:val="left" w:pos="284"/>
          <w:tab w:val="left" w:pos="5103"/>
        </w:tabs>
        <w:snapToGrid w:val="0"/>
        <w:rPr>
          <w:rFonts w:hint="default" w:eastAsia="宋体"/>
          <w:b/>
          <w:bCs/>
          <w:sz w:val="21"/>
          <w:szCs w:val="21"/>
          <w:lang w:val="en-US" w:eastAsia="zh-CN"/>
        </w:rPr>
      </w:pPr>
      <w:r>
        <w:rPr>
          <w:rFonts w:eastAsia="宋体"/>
          <w:b/>
          <w:bCs/>
          <w:sz w:val="21"/>
          <w:szCs w:val="21"/>
          <w:lang w:val="en-GB" w:eastAsia="zh-CN"/>
        </w:rPr>
        <w:t xml:space="preserve">Proposal 1: </w:t>
      </w:r>
      <w:r>
        <w:rPr>
          <w:rFonts w:hint="eastAsia" w:eastAsia="宋体"/>
          <w:b/>
          <w:bCs/>
          <w:sz w:val="21"/>
          <w:szCs w:val="21"/>
          <w:lang w:val="en-GB" w:eastAsia="zh-CN"/>
        </w:rPr>
        <w:t>Introduc</w:t>
      </w:r>
      <w:r>
        <w:rPr>
          <w:rFonts w:hint="eastAsia" w:eastAsia="宋体"/>
          <w:b/>
          <w:bCs/>
          <w:sz w:val="21"/>
          <w:szCs w:val="21"/>
          <w:lang w:val="en-US" w:eastAsia="zh-CN"/>
        </w:rPr>
        <w:t>ing</w:t>
      </w:r>
      <w:r>
        <w:rPr>
          <w:rFonts w:hint="eastAsia" w:eastAsia="宋体"/>
          <w:b/>
          <w:bCs/>
          <w:sz w:val="21"/>
          <w:szCs w:val="21"/>
          <w:lang w:val="en-GB" w:eastAsia="zh-CN"/>
        </w:rPr>
        <w:t xml:space="preserve"> the </w:t>
      </w:r>
      <w:r>
        <w:rPr>
          <w:rFonts w:hint="eastAsia" w:eastAsia="宋体"/>
          <w:b/>
          <w:bCs/>
          <w:sz w:val="21"/>
          <w:szCs w:val="21"/>
          <w:lang w:val="en-US" w:eastAsia="zh-CN"/>
        </w:rPr>
        <w:t xml:space="preserve">dynamic </w:t>
      </w:r>
      <w:r>
        <w:rPr>
          <w:rFonts w:hint="eastAsia" w:eastAsia="宋体"/>
          <w:b/>
          <w:bCs/>
          <w:sz w:val="21"/>
          <w:szCs w:val="21"/>
          <w:lang w:val="en-GB" w:eastAsia="zh-CN"/>
        </w:rPr>
        <w:t>MG on/off mechanism can be effective to deal with the dynamic active BWP switch</w:t>
      </w:r>
      <w:r>
        <w:rPr>
          <w:rFonts w:hint="eastAsia" w:eastAsia="宋体"/>
          <w:b/>
          <w:bCs/>
          <w:sz w:val="21"/>
          <w:szCs w:val="21"/>
          <w:lang w:val="en-US" w:eastAsia="zh-CN"/>
        </w:rPr>
        <w:t>ing</w:t>
      </w:r>
      <w:r>
        <w:rPr>
          <w:rFonts w:hint="eastAsia" w:eastAsia="宋体"/>
          <w:b/>
          <w:bCs/>
          <w:sz w:val="21"/>
          <w:szCs w:val="21"/>
          <w:lang w:val="en-GB" w:eastAsia="zh-CN"/>
        </w:rPr>
        <w:t xml:space="preserve"> via DCI or timer.</w:t>
      </w:r>
    </w:p>
    <w:p>
      <w:pPr>
        <w:pStyle w:val="3"/>
        <w:tabs>
          <w:tab w:val="left" w:pos="226"/>
          <w:tab w:val="left" w:pos="284"/>
          <w:tab w:val="left" w:pos="5103"/>
        </w:tabs>
        <w:snapToGrid w:val="0"/>
        <w:rPr>
          <w:rFonts w:hint="default" w:eastAsia="宋体"/>
          <w:sz w:val="21"/>
          <w:szCs w:val="21"/>
          <w:lang w:val="en-US" w:eastAsia="zh-CN"/>
        </w:rPr>
      </w:pPr>
      <w:r>
        <w:rPr>
          <w:rFonts w:hint="eastAsia" w:eastAsia="宋体"/>
          <w:sz w:val="21"/>
          <w:szCs w:val="21"/>
          <w:lang w:val="en-US" w:eastAsia="zh-CN"/>
        </w:rPr>
        <w:t>With the introduction of dynamic MG on/off mechanism, the influence to the measurement requirements should be considered. We focus on the transition time between the MG on/off swithcing. For the transition between MG on status and MG off status, the transition time will consist of at least active BWP switching delay and some additional processing margin caused by gNB and UE implementation aspects. From the UE side, the measurement sampling during MG on and MG off maybe different, which includes additional margin. From the gNB side, gNB covers multiple UEs, so for the gNB</w:t>
      </w:r>
      <w:r>
        <w:rPr>
          <w:rFonts w:hint="default" w:eastAsia="宋体"/>
          <w:sz w:val="21"/>
          <w:szCs w:val="21"/>
          <w:lang w:val="en-US" w:eastAsia="zh-CN"/>
        </w:rPr>
        <w:t>’</w:t>
      </w:r>
      <w:r>
        <w:rPr>
          <w:rFonts w:hint="eastAsia" w:eastAsia="宋体"/>
          <w:sz w:val="21"/>
          <w:szCs w:val="21"/>
          <w:lang w:val="en-US" w:eastAsia="zh-CN"/>
        </w:rPr>
        <w:t>s scheduling, multiple UEs</w:t>
      </w:r>
      <w:r>
        <w:rPr>
          <w:rFonts w:hint="default" w:eastAsia="宋体"/>
          <w:sz w:val="21"/>
          <w:szCs w:val="21"/>
          <w:lang w:val="en-US" w:eastAsia="zh-CN"/>
        </w:rPr>
        <w:t>’</w:t>
      </w:r>
      <w:r>
        <w:rPr>
          <w:rFonts w:hint="eastAsia" w:eastAsia="宋体"/>
          <w:sz w:val="21"/>
          <w:szCs w:val="21"/>
          <w:lang w:val="en-US" w:eastAsia="zh-CN"/>
        </w:rPr>
        <w:t xml:space="preserve"> MG on/off status should be considered by the gNB, for the UE in the MG on status, scheduling limitation should be added, and for the UE in MG off status, no scheduling limitation need to be considered, so gNB needs some margin to adapt scheduling. So the transition time can be devided into:</w:t>
      </w:r>
    </w:p>
    <w:p>
      <w:pPr>
        <w:pStyle w:val="3"/>
        <w:tabs>
          <w:tab w:val="left" w:pos="226"/>
          <w:tab w:val="left" w:pos="284"/>
          <w:tab w:val="left" w:pos="5103"/>
        </w:tabs>
        <w:snapToGrid w:val="0"/>
        <w:rPr>
          <w:rFonts w:hint="eastAsia" w:eastAsia="宋体"/>
          <w:sz w:val="21"/>
          <w:szCs w:val="21"/>
          <w:lang w:val="en-US" w:eastAsia="zh-CN"/>
        </w:rPr>
      </w:pPr>
      <w:r>
        <w:rPr>
          <w:rFonts w:hint="eastAsia" w:eastAsia="宋体"/>
          <w:sz w:val="21"/>
          <w:szCs w:val="21"/>
          <w:lang w:val="en-US" w:eastAsia="zh-CN"/>
        </w:rPr>
        <w:tab/>
      </w:r>
      <w:r>
        <w:rPr>
          <w:rFonts w:hint="eastAsia" w:eastAsia="宋体"/>
          <w:sz w:val="21"/>
          <w:szCs w:val="21"/>
          <w:lang w:val="en-US" w:eastAsia="zh-CN"/>
        </w:rPr>
        <w:t>- active BWP switching delay</w:t>
      </w:r>
    </w:p>
    <w:p>
      <w:pPr>
        <w:pStyle w:val="3"/>
        <w:tabs>
          <w:tab w:val="left" w:pos="226"/>
          <w:tab w:val="left" w:pos="284"/>
          <w:tab w:val="left" w:pos="5103"/>
        </w:tabs>
        <w:snapToGrid w:val="0"/>
        <w:rPr>
          <w:rFonts w:hint="eastAsia" w:eastAsia="宋体"/>
          <w:sz w:val="21"/>
          <w:szCs w:val="21"/>
          <w:lang w:val="en-US" w:eastAsia="zh-CN"/>
        </w:rPr>
      </w:pPr>
      <w:r>
        <w:rPr>
          <w:rFonts w:hint="eastAsia" w:eastAsia="宋体"/>
          <w:sz w:val="21"/>
          <w:szCs w:val="21"/>
          <w:lang w:val="en-US" w:eastAsia="zh-CN"/>
        </w:rPr>
        <w:tab/>
      </w:r>
      <w:r>
        <w:rPr>
          <w:rFonts w:hint="eastAsia" w:eastAsia="宋体"/>
          <w:sz w:val="21"/>
          <w:szCs w:val="21"/>
          <w:lang w:val="en-US" w:eastAsia="zh-CN"/>
        </w:rPr>
        <w:t>- additional processing margin</w:t>
      </w:r>
    </w:p>
    <w:p>
      <w:pPr>
        <w:pStyle w:val="3"/>
        <w:tabs>
          <w:tab w:val="left" w:pos="226"/>
          <w:tab w:val="left" w:pos="284"/>
          <w:tab w:val="left" w:pos="5103"/>
        </w:tabs>
        <w:snapToGrid w:val="0"/>
        <w:rPr>
          <w:rFonts w:hint="default" w:eastAsia="宋体"/>
          <w:sz w:val="21"/>
          <w:szCs w:val="21"/>
          <w:lang w:val="en-US" w:eastAsia="zh-CN"/>
        </w:rPr>
      </w:pPr>
      <w:r>
        <w:rPr>
          <w:rFonts w:hint="eastAsia" w:eastAsia="宋体"/>
          <w:sz w:val="21"/>
          <w:szCs w:val="21"/>
          <w:lang w:val="en-US" w:eastAsia="zh-CN"/>
        </w:rPr>
        <w:t xml:space="preserve">  </w:t>
      </w:r>
      <w:r>
        <w:rPr>
          <w:rFonts w:hint="eastAsia" w:eastAsia="宋体"/>
          <w:sz w:val="21"/>
          <w:szCs w:val="21"/>
          <w:lang w:val="en-US" w:eastAsia="zh-CN"/>
        </w:rPr>
        <w:tab/>
      </w:r>
      <w:r>
        <w:rPr>
          <w:rFonts w:hint="eastAsia" w:eastAsia="宋体"/>
          <w:sz w:val="21"/>
          <w:szCs w:val="21"/>
          <w:lang w:val="en-US" w:eastAsia="zh-CN"/>
        </w:rPr>
        <w:t xml:space="preserve">    - caused by gNB, i.e. scheduling limitation adaption </w:t>
      </w:r>
    </w:p>
    <w:p>
      <w:pPr>
        <w:pStyle w:val="3"/>
        <w:tabs>
          <w:tab w:val="left" w:pos="226"/>
          <w:tab w:val="left" w:pos="284"/>
          <w:tab w:val="left" w:pos="5103"/>
        </w:tabs>
        <w:snapToGrid w:val="0"/>
        <w:rPr>
          <w:rFonts w:hint="default" w:eastAsia="宋体"/>
          <w:sz w:val="21"/>
          <w:szCs w:val="21"/>
          <w:lang w:val="en-US" w:eastAsia="zh-CN"/>
        </w:rPr>
      </w:pPr>
      <w:r>
        <w:rPr>
          <w:rFonts w:hint="eastAsia" w:eastAsia="宋体"/>
          <w:sz w:val="21"/>
          <w:szCs w:val="21"/>
          <w:lang w:val="en-US" w:eastAsia="zh-CN"/>
        </w:rPr>
        <w:tab/>
      </w:r>
      <w:r>
        <w:rPr>
          <w:rFonts w:hint="eastAsia" w:eastAsia="宋体"/>
          <w:sz w:val="21"/>
          <w:szCs w:val="21"/>
          <w:lang w:val="en-US" w:eastAsia="zh-CN"/>
        </w:rPr>
        <w:t xml:space="preserve">    - caused by UE, i.e. measurement sampling adaption</w:t>
      </w:r>
    </w:p>
    <w:p>
      <w:pPr>
        <w:numPr>
          <w:ilvl w:val="0"/>
          <w:numId w:val="0"/>
        </w:numPr>
        <w:rPr>
          <w:rFonts w:hint="default" w:ascii="Times New Roman" w:hAnsi="Times New Roman" w:eastAsia="宋体" w:cs="Times New Roman"/>
          <w:b/>
          <w:bCs/>
          <w:sz w:val="21"/>
          <w:szCs w:val="21"/>
          <w:lang w:val="en-US" w:eastAsia="zh-CN" w:bidi="ar-SA"/>
        </w:rPr>
      </w:pPr>
      <w:bookmarkStart w:id="0" w:name="OLE_LINK1"/>
      <w:r>
        <w:rPr>
          <w:rFonts w:hint="eastAsia" w:ascii="Times New Roman" w:hAnsi="Times New Roman" w:eastAsia="宋体" w:cs="Times New Roman"/>
          <w:b/>
          <w:bCs/>
          <w:sz w:val="21"/>
          <w:szCs w:val="21"/>
          <w:lang w:val="en-US" w:eastAsia="zh-CN" w:bidi="ar-SA"/>
        </w:rPr>
        <w:t xml:space="preserve">Proposal 2: </w:t>
      </w:r>
      <w:bookmarkEnd w:id="0"/>
      <w:r>
        <w:rPr>
          <w:rFonts w:hint="eastAsia" w:eastAsia="宋体" w:cs="Times New Roman"/>
          <w:b/>
          <w:bCs/>
          <w:sz w:val="21"/>
          <w:szCs w:val="21"/>
          <w:lang w:val="en-US" w:eastAsia="zh-CN" w:bidi="ar-SA"/>
        </w:rPr>
        <w:t>T</w:t>
      </w:r>
      <w:r>
        <w:rPr>
          <w:rFonts w:hint="eastAsia" w:ascii="Times New Roman" w:hAnsi="Times New Roman" w:eastAsia="宋体" w:cs="Times New Roman"/>
          <w:b/>
          <w:bCs/>
          <w:sz w:val="21"/>
          <w:szCs w:val="21"/>
          <w:lang w:val="en-US" w:eastAsia="zh-CN" w:bidi="ar-SA"/>
        </w:rPr>
        <w:t>he transition time should be further determined between the dynamic MG on/off.</w:t>
      </w:r>
    </w:p>
    <w:p>
      <w:pPr>
        <w:pStyle w:val="3"/>
        <w:tabs>
          <w:tab w:val="left" w:pos="226"/>
          <w:tab w:val="left" w:pos="284"/>
          <w:tab w:val="left" w:pos="5103"/>
        </w:tabs>
        <w:snapToGrid w:val="0"/>
        <w:rPr>
          <w:rFonts w:hint="default" w:eastAsia="宋体"/>
          <w:sz w:val="21"/>
          <w:szCs w:val="21"/>
          <w:lang w:val="en-US" w:eastAsia="zh-CN"/>
        </w:rPr>
      </w:pPr>
    </w:p>
    <w:p>
      <w:pPr>
        <w:pStyle w:val="4"/>
        <w:bidi w:val="0"/>
        <w:rPr>
          <w:rFonts w:hint="eastAsia"/>
          <w:sz w:val="28"/>
          <w:szCs w:val="28"/>
          <w:lang w:val="en-US" w:eastAsia="zh-CN"/>
        </w:rPr>
      </w:pPr>
      <w:r>
        <w:rPr>
          <w:rFonts w:hint="eastAsia"/>
          <w:sz w:val="28"/>
          <w:szCs w:val="28"/>
          <w:lang w:val="en-US" w:eastAsia="zh-CN"/>
        </w:rPr>
        <w:t>2.2 Consideration on inter-frequency and inter-RAT</w:t>
      </w:r>
    </w:p>
    <w:p>
      <w:pPr>
        <w:pStyle w:val="3"/>
        <w:rPr>
          <w:rFonts w:hint="eastAsia" w:eastAsia="宋体"/>
          <w:sz w:val="21"/>
          <w:szCs w:val="21"/>
          <w:lang w:val="en-US" w:eastAsia="zh-CN"/>
        </w:rPr>
      </w:pPr>
      <w:r>
        <w:rPr>
          <w:rFonts w:hint="eastAsia" w:eastAsia="宋体"/>
          <w:sz w:val="21"/>
          <w:szCs w:val="21"/>
          <w:lang w:val="en-US" w:eastAsia="zh-CN"/>
        </w:rPr>
        <w:t>We analysis the case of intra-frequency. However, if inter-frequency or inter-RAT MOs which still need MG are configured, once the MG is configured, which should always be on status, since the inter-frequency and inter-RAT measurements always need gap. So which should be clarified that the dynamic MG on/off only applies to intra-frequency measurement. For inter-frequency and inter-RAT measurements, just the same as legacy Rel-15/16, once per UE MG or per FR MG configured, the MG is always on.</w:t>
      </w:r>
    </w:p>
    <w:p>
      <w:pPr>
        <w:pStyle w:val="3"/>
        <w:rPr>
          <w:rFonts w:hint="default" w:eastAsia="宋体"/>
          <w:sz w:val="21"/>
          <w:szCs w:val="21"/>
          <w:lang w:val="en-US" w:eastAsia="zh-CN"/>
        </w:rPr>
      </w:pPr>
      <w:r>
        <w:rPr>
          <w:rFonts w:hint="eastAsia" w:ascii="Times New Roman" w:hAnsi="Times New Roman" w:eastAsia="宋体" w:cs="Times New Roman"/>
          <w:b/>
          <w:bCs/>
          <w:sz w:val="21"/>
          <w:szCs w:val="21"/>
          <w:lang w:val="en-US" w:eastAsia="zh-CN" w:bidi="ar-SA"/>
        </w:rPr>
        <w:t xml:space="preserve">Proposal 3: Dynamic MG on/off only applies for intra-frequency. </w:t>
      </w:r>
    </w:p>
    <w:p>
      <w:pPr>
        <w:pStyle w:val="4"/>
        <w:bidi w:val="0"/>
        <w:rPr>
          <w:rFonts w:hint="default"/>
          <w:sz w:val="28"/>
          <w:szCs w:val="28"/>
          <w:lang w:val="en-US" w:eastAsia="zh-CN"/>
        </w:rPr>
      </w:pPr>
      <w:r>
        <w:rPr>
          <w:rFonts w:hint="eastAsia"/>
          <w:sz w:val="28"/>
          <w:szCs w:val="28"/>
          <w:lang w:val="en-US" w:eastAsia="zh-CN"/>
        </w:rPr>
        <w:t>2.3 Consideration on NR-CA</w:t>
      </w:r>
    </w:p>
    <w:p>
      <w:pPr>
        <w:pStyle w:val="3"/>
        <w:rPr>
          <w:rFonts w:hint="eastAsia" w:eastAsia="宋体"/>
          <w:sz w:val="21"/>
          <w:szCs w:val="21"/>
          <w:lang w:val="en-US" w:eastAsia="zh-CN"/>
        </w:rPr>
      </w:pPr>
      <w:r>
        <w:rPr>
          <w:rFonts w:hint="eastAsia" w:eastAsia="宋体"/>
          <w:sz w:val="21"/>
          <w:szCs w:val="21"/>
          <w:lang w:val="en-US" w:eastAsia="zh-CN"/>
        </w:rPr>
        <w:t>In the case of NR-CA, multiple serving cells are configured to the UE, and several serving cells may be active at one time. For each active serving cell, active BWP switching via DCI or timer maybe happen. So one concern that the dynamic MG on/off should only focus on PCell or all active serving cells should be determined.</w:t>
      </w:r>
    </w:p>
    <w:p>
      <w:pPr>
        <w:pStyle w:val="3"/>
        <w:rPr>
          <w:rFonts w:hint="default"/>
          <w:lang w:val="en-US" w:eastAsia="zh-CN"/>
        </w:rPr>
      </w:pPr>
      <w:r>
        <w:rPr>
          <w:rFonts w:hint="eastAsia" w:eastAsia="宋体"/>
          <w:sz w:val="21"/>
          <w:szCs w:val="21"/>
          <w:lang w:val="en-US" w:eastAsia="zh-CN"/>
        </w:rPr>
        <w:t xml:space="preserve">Considering that the MG configuration is per UE or per FR, not per serving cell, so for the dynamic MG on/off mechanism, all serving cells should be considered together. For intra-frequency measurement, only if all serving cells meet the condition of MG off, then the MG off can happen. Once any serving cell needs MG on, MG off can not happen. For example, three serving cells including PCell, SCell#1, SCell#2 are active at a moment, the intra-frequency measurement on PCell and SCell#1 can be done without gap, but on SCell#2 can only be done with gap, then the MG on should be kept.  </w:t>
      </w:r>
    </w:p>
    <w:p>
      <w:pPr>
        <w:pStyle w:val="3"/>
        <w:tabs>
          <w:tab w:val="left" w:pos="226"/>
          <w:tab w:val="left" w:pos="284"/>
          <w:tab w:val="left" w:pos="5103"/>
        </w:tabs>
        <w:snapToGrid w:val="0"/>
        <w:rPr>
          <w:rFonts w:hint="eastAsia" w:eastAsia="宋体" w:cs="Times New Roman"/>
          <w:b/>
          <w:bCs/>
          <w:sz w:val="21"/>
          <w:szCs w:val="21"/>
          <w:lang w:val="en-US" w:eastAsia="zh-CN" w:bidi="ar-SA"/>
        </w:rPr>
      </w:pPr>
      <w:bookmarkStart w:id="1" w:name="OLE_LINK2"/>
      <w:r>
        <w:rPr>
          <w:rFonts w:hint="eastAsia" w:ascii="Times New Roman" w:hAnsi="Times New Roman" w:eastAsia="宋体" w:cs="Times New Roman"/>
          <w:b/>
          <w:bCs/>
          <w:sz w:val="21"/>
          <w:szCs w:val="21"/>
          <w:lang w:val="en-US" w:eastAsia="zh-CN" w:bidi="ar-SA"/>
        </w:rPr>
        <w:t xml:space="preserve">Proposal 4: For NR-CA case, </w:t>
      </w:r>
      <w:r>
        <w:rPr>
          <w:rFonts w:hint="eastAsia" w:eastAsia="宋体" w:cs="Times New Roman"/>
          <w:b/>
          <w:bCs/>
          <w:sz w:val="21"/>
          <w:szCs w:val="21"/>
          <w:lang w:val="en-US" w:eastAsia="zh-CN" w:bidi="ar-SA"/>
        </w:rPr>
        <w:t xml:space="preserve">focus on intra-frequency measurement, </w:t>
      </w:r>
      <w:r>
        <w:rPr>
          <w:rFonts w:hint="eastAsia" w:ascii="Times New Roman" w:hAnsi="Times New Roman" w:eastAsia="宋体" w:cs="Times New Roman"/>
          <w:b/>
          <w:bCs/>
          <w:sz w:val="21"/>
          <w:szCs w:val="21"/>
          <w:lang w:val="en-US" w:eastAsia="zh-CN" w:bidi="ar-SA"/>
        </w:rPr>
        <w:t>dynamic MG off can be enable</w:t>
      </w:r>
      <w:r>
        <w:rPr>
          <w:rFonts w:hint="eastAsia" w:eastAsia="宋体" w:cs="Times New Roman"/>
          <w:b/>
          <w:bCs/>
          <w:sz w:val="21"/>
          <w:szCs w:val="21"/>
          <w:lang w:val="en-US" w:eastAsia="zh-CN" w:bidi="ar-SA"/>
        </w:rPr>
        <w:t>d</w:t>
      </w:r>
      <w:r>
        <w:rPr>
          <w:rFonts w:hint="eastAsia" w:ascii="Times New Roman" w:hAnsi="Times New Roman" w:eastAsia="宋体" w:cs="Times New Roman"/>
          <w:b/>
          <w:bCs/>
          <w:sz w:val="21"/>
          <w:szCs w:val="21"/>
          <w:lang w:val="en-US" w:eastAsia="zh-CN" w:bidi="ar-SA"/>
        </w:rPr>
        <w:t xml:space="preserve"> only if all active serving cells can execute measurement without gap. </w:t>
      </w:r>
    </w:p>
    <w:bookmarkEnd w:id="1"/>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val="en-US" w:eastAsia="zh-CN"/>
        </w:rPr>
      </w:pPr>
      <w:r>
        <w:rPr>
          <w:rFonts w:eastAsia="宋体"/>
          <w:lang w:val="en-US" w:eastAsia="zh-CN"/>
        </w:rPr>
        <w:t>Conclusion</w:t>
      </w:r>
    </w:p>
    <w:p>
      <w:pPr>
        <w:pStyle w:val="3"/>
        <w:tabs>
          <w:tab w:val="left" w:pos="226"/>
          <w:tab w:val="left" w:pos="284"/>
          <w:tab w:val="left" w:pos="5103"/>
        </w:tabs>
        <w:snapToGrid w:val="0"/>
        <w:rPr>
          <w:rFonts w:eastAsia="宋体"/>
          <w:bCs/>
          <w:sz w:val="21"/>
          <w:szCs w:val="21"/>
          <w:lang w:val="en-GB" w:eastAsia="zh-CN"/>
        </w:rPr>
      </w:pPr>
      <w:r>
        <w:rPr>
          <w:rFonts w:eastAsia="宋体"/>
          <w:bCs/>
          <w:sz w:val="21"/>
          <w:szCs w:val="21"/>
          <w:lang w:val="en-GB" w:eastAsia="zh-CN"/>
        </w:rPr>
        <w:t xml:space="preserve">In this </w:t>
      </w:r>
      <w:r>
        <w:rPr>
          <w:rFonts w:hint="eastAsia" w:eastAsia="宋体"/>
          <w:bCs/>
          <w:sz w:val="21"/>
          <w:szCs w:val="21"/>
          <w:lang w:val="en-US" w:eastAsia="zh-CN"/>
        </w:rPr>
        <w:t>contribution</w:t>
      </w:r>
      <w:r>
        <w:rPr>
          <w:rFonts w:eastAsia="宋体"/>
          <w:bCs/>
          <w:sz w:val="21"/>
          <w:szCs w:val="21"/>
          <w:lang w:val="en-GB" w:eastAsia="zh-CN"/>
        </w:rPr>
        <w:t xml:space="preserve">, we have the following proposals for </w:t>
      </w:r>
      <w:r>
        <w:rPr>
          <w:rFonts w:hint="eastAsia" w:eastAsia="宋体"/>
          <w:bCs/>
          <w:sz w:val="21"/>
          <w:szCs w:val="21"/>
          <w:lang w:val="en-US" w:eastAsia="zh-CN"/>
        </w:rPr>
        <w:t>pre-configured MG patterns</w:t>
      </w:r>
      <w:r>
        <w:rPr>
          <w:rFonts w:eastAsia="宋体"/>
          <w:bCs/>
          <w:sz w:val="21"/>
          <w:szCs w:val="21"/>
          <w:lang w:val="en-GB" w:eastAsia="zh-CN"/>
        </w:rPr>
        <w:t>:</w:t>
      </w:r>
    </w:p>
    <w:p>
      <w:pPr>
        <w:pStyle w:val="3"/>
        <w:tabs>
          <w:tab w:val="left" w:pos="226"/>
          <w:tab w:val="left" w:pos="284"/>
          <w:tab w:val="left" w:pos="5103"/>
        </w:tabs>
        <w:snapToGrid w:val="0"/>
        <w:rPr>
          <w:rFonts w:eastAsia="宋体"/>
          <w:b/>
          <w:bCs/>
          <w:sz w:val="21"/>
          <w:szCs w:val="21"/>
          <w:lang w:val="en-GB" w:eastAsia="zh-CN"/>
        </w:rPr>
      </w:pPr>
      <w:r>
        <w:rPr>
          <w:rFonts w:eastAsia="宋体"/>
          <w:b/>
          <w:bCs/>
          <w:sz w:val="21"/>
          <w:szCs w:val="21"/>
          <w:lang w:val="en-GB" w:eastAsia="zh-CN"/>
        </w:rPr>
        <w:t xml:space="preserve">Proposal 1: </w:t>
      </w:r>
      <w:r>
        <w:rPr>
          <w:rFonts w:hint="eastAsia" w:eastAsia="宋体"/>
          <w:b/>
          <w:bCs/>
          <w:sz w:val="21"/>
          <w:szCs w:val="21"/>
          <w:lang w:val="en-GB" w:eastAsia="zh-CN"/>
        </w:rPr>
        <w:t>Introduc</w:t>
      </w:r>
      <w:r>
        <w:rPr>
          <w:rFonts w:hint="eastAsia" w:eastAsia="宋体"/>
          <w:b/>
          <w:bCs/>
          <w:sz w:val="21"/>
          <w:szCs w:val="21"/>
          <w:lang w:val="en-US" w:eastAsia="zh-CN"/>
        </w:rPr>
        <w:t>ing</w:t>
      </w:r>
      <w:r>
        <w:rPr>
          <w:rFonts w:hint="eastAsia" w:eastAsia="宋体"/>
          <w:b/>
          <w:bCs/>
          <w:sz w:val="21"/>
          <w:szCs w:val="21"/>
          <w:lang w:val="en-GB" w:eastAsia="zh-CN"/>
        </w:rPr>
        <w:t xml:space="preserve"> the </w:t>
      </w:r>
      <w:r>
        <w:rPr>
          <w:rFonts w:hint="eastAsia" w:eastAsia="宋体"/>
          <w:b/>
          <w:bCs/>
          <w:sz w:val="21"/>
          <w:szCs w:val="21"/>
          <w:lang w:val="en-US" w:eastAsia="zh-CN"/>
        </w:rPr>
        <w:t xml:space="preserve">dynamic </w:t>
      </w:r>
      <w:r>
        <w:rPr>
          <w:rFonts w:hint="eastAsia" w:eastAsia="宋体"/>
          <w:b/>
          <w:bCs/>
          <w:sz w:val="21"/>
          <w:szCs w:val="21"/>
          <w:lang w:val="en-GB" w:eastAsia="zh-CN"/>
        </w:rPr>
        <w:t>MG on/off mechanism can be effective to deal with the dynamic active BWP switch</w:t>
      </w:r>
      <w:r>
        <w:rPr>
          <w:rFonts w:hint="eastAsia" w:eastAsia="宋体"/>
          <w:b/>
          <w:bCs/>
          <w:sz w:val="21"/>
          <w:szCs w:val="21"/>
          <w:lang w:val="en-US" w:eastAsia="zh-CN"/>
        </w:rPr>
        <w:t>ing</w:t>
      </w:r>
      <w:r>
        <w:rPr>
          <w:rFonts w:hint="eastAsia" w:eastAsia="宋体"/>
          <w:b/>
          <w:bCs/>
          <w:sz w:val="21"/>
          <w:szCs w:val="21"/>
          <w:lang w:val="en-GB" w:eastAsia="zh-CN"/>
        </w:rPr>
        <w:t xml:space="preserve"> via DCI or timer.</w:t>
      </w:r>
    </w:p>
    <w:p>
      <w:pPr>
        <w:pStyle w:val="3"/>
        <w:tabs>
          <w:tab w:val="left" w:pos="226"/>
          <w:tab w:val="left" w:pos="284"/>
          <w:tab w:val="left" w:pos="5103"/>
        </w:tabs>
        <w:snapToGrid w:val="0"/>
        <w:rPr>
          <w:rFonts w:eastAsia="宋体"/>
          <w:b/>
          <w:bCs/>
          <w:sz w:val="21"/>
          <w:szCs w:val="21"/>
          <w:lang w:val="en-GB" w:eastAsia="zh-CN"/>
        </w:rPr>
      </w:pPr>
      <w:r>
        <w:rPr>
          <w:rFonts w:eastAsia="宋体"/>
          <w:b/>
          <w:bCs/>
          <w:sz w:val="21"/>
          <w:szCs w:val="21"/>
          <w:lang w:val="en-GB" w:eastAsia="zh-CN"/>
        </w:rPr>
        <w:t xml:space="preserve">Proposal 2: </w:t>
      </w:r>
      <w:r>
        <w:rPr>
          <w:rFonts w:hint="eastAsia" w:ascii="Times New Roman" w:hAnsi="Times New Roman" w:eastAsia="宋体" w:cs="Times New Roman"/>
          <w:b/>
          <w:bCs/>
          <w:sz w:val="21"/>
          <w:szCs w:val="21"/>
          <w:lang w:val="en-US" w:eastAsia="zh-CN" w:bidi="ar-SA"/>
        </w:rPr>
        <w:t>The transition time should be further determined between the dynamic MG on/off.</w:t>
      </w:r>
    </w:p>
    <w:p>
      <w:pPr>
        <w:pStyle w:val="3"/>
        <w:rPr>
          <w:rFonts w:eastAsia="宋体"/>
          <w:b/>
          <w:bCs/>
          <w:sz w:val="21"/>
          <w:szCs w:val="21"/>
          <w:lang w:val="en-GB" w:eastAsia="zh-CN"/>
        </w:rPr>
      </w:pPr>
      <w:r>
        <w:rPr>
          <w:rFonts w:eastAsia="宋体"/>
          <w:b/>
          <w:bCs/>
          <w:sz w:val="21"/>
          <w:szCs w:val="21"/>
          <w:lang w:val="en-GB" w:eastAsia="zh-CN"/>
        </w:rPr>
        <w:t xml:space="preserve">Proposal 3: </w:t>
      </w:r>
      <w:r>
        <w:rPr>
          <w:rFonts w:hint="eastAsia" w:ascii="Times New Roman" w:hAnsi="Times New Roman" w:eastAsia="宋体" w:cs="Times New Roman"/>
          <w:b/>
          <w:bCs/>
          <w:sz w:val="21"/>
          <w:szCs w:val="21"/>
          <w:lang w:val="en-US" w:eastAsia="zh-CN" w:bidi="ar-SA"/>
        </w:rPr>
        <w:t xml:space="preserve">Dynamic MG on/off only applies for intra-frequency. </w:t>
      </w:r>
    </w:p>
    <w:p>
      <w:pPr>
        <w:pStyle w:val="3"/>
        <w:tabs>
          <w:tab w:val="left" w:pos="226"/>
          <w:tab w:val="left" w:pos="284"/>
          <w:tab w:val="left" w:pos="5103"/>
        </w:tabs>
        <w:snapToGrid w:val="0"/>
        <w:rPr>
          <w:rFonts w:hint="eastAsia" w:eastAsia="宋体" w:cs="Times New Roman"/>
          <w:b/>
          <w:bCs/>
          <w:sz w:val="21"/>
          <w:szCs w:val="21"/>
          <w:lang w:val="en-US" w:eastAsia="zh-CN" w:bidi="ar-SA"/>
        </w:rPr>
      </w:pPr>
      <w:r>
        <w:rPr>
          <w:rFonts w:hint="eastAsia" w:ascii="Times New Roman" w:hAnsi="Times New Roman" w:eastAsia="宋体" w:cs="Times New Roman"/>
          <w:b/>
          <w:bCs/>
          <w:sz w:val="21"/>
          <w:szCs w:val="21"/>
          <w:lang w:val="en-US" w:eastAsia="zh-CN" w:bidi="ar-SA"/>
        </w:rPr>
        <w:t xml:space="preserve">Proposal 4: For NR-CA case, </w:t>
      </w:r>
      <w:r>
        <w:rPr>
          <w:rFonts w:hint="eastAsia" w:eastAsia="宋体" w:cs="Times New Roman"/>
          <w:b/>
          <w:bCs/>
          <w:sz w:val="21"/>
          <w:szCs w:val="21"/>
          <w:lang w:val="en-US" w:eastAsia="zh-CN" w:bidi="ar-SA"/>
        </w:rPr>
        <w:t xml:space="preserve">focus on intra-frequency measurement, </w:t>
      </w:r>
      <w:r>
        <w:rPr>
          <w:rFonts w:hint="eastAsia" w:ascii="Times New Roman" w:hAnsi="Times New Roman" w:eastAsia="宋体" w:cs="Times New Roman"/>
          <w:b/>
          <w:bCs/>
          <w:sz w:val="21"/>
          <w:szCs w:val="21"/>
          <w:lang w:val="en-US" w:eastAsia="zh-CN" w:bidi="ar-SA"/>
        </w:rPr>
        <w:t>dynamic MG off can be enable</w:t>
      </w:r>
      <w:r>
        <w:rPr>
          <w:rFonts w:hint="eastAsia" w:eastAsia="宋体" w:cs="Times New Roman"/>
          <w:b/>
          <w:bCs/>
          <w:sz w:val="21"/>
          <w:szCs w:val="21"/>
          <w:lang w:val="en-US" w:eastAsia="zh-CN" w:bidi="ar-SA"/>
        </w:rPr>
        <w:t>d</w:t>
      </w:r>
      <w:r>
        <w:rPr>
          <w:rFonts w:hint="eastAsia" w:ascii="Times New Roman" w:hAnsi="Times New Roman" w:eastAsia="宋体" w:cs="Times New Roman"/>
          <w:b/>
          <w:bCs/>
          <w:sz w:val="21"/>
          <w:szCs w:val="21"/>
          <w:lang w:val="en-US" w:eastAsia="zh-CN" w:bidi="ar-SA"/>
        </w:rPr>
        <w:t xml:space="preserve"> only if all active serving cells can execute measurement without gap.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val="en-US" w:eastAsia="zh-CN"/>
        </w:rPr>
      </w:pPr>
      <w:r>
        <w:rPr>
          <w:rFonts w:hint="eastAsia" w:eastAsia="宋体"/>
          <w:lang w:val="en-US" w:eastAsia="zh-CN"/>
        </w:rPr>
        <w:t>Reference</w:t>
      </w:r>
    </w:p>
    <w:p>
      <w:pPr>
        <w:pStyle w:val="8"/>
      </w:pPr>
      <w:r>
        <w:t xml:space="preserve">RP-202119, “New WI Proposal on NR MG enhancements”, </w:t>
      </w:r>
      <w:bookmarkStart w:id="2" w:name="_Hlk51315259"/>
      <w:r>
        <w:t>Intel Corporation, MediaTek Inc.</w:t>
      </w:r>
      <w:bookmarkEnd w:id="2"/>
      <w:r>
        <w:t>, RANP #89e meeting</w:t>
      </w:r>
    </w:p>
    <w:p>
      <w:pPr>
        <w:pStyle w:val="8"/>
      </w:pPr>
      <w:r>
        <w:rPr>
          <w:rFonts w:hint="eastAsia"/>
          <w:lang w:val="en-US" w:eastAsia="zh-CN"/>
        </w:rPr>
        <w:t xml:space="preserve">3GPP TS 38.213-g20, </w:t>
      </w:r>
      <w:r>
        <w:rPr>
          <w:rFonts w:hint="default"/>
          <w:lang w:val="en-US" w:eastAsia="zh-CN"/>
        </w:rPr>
        <w:t>“</w:t>
      </w:r>
      <w:r>
        <w:rPr>
          <w:rFonts w:hint="eastAsia"/>
          <w:lang w:val="en-US" w:eastAsia="zh-CN"/>
        </w:rPr>
        <w:t>Physical layer procedures for control</w:t>
      </w:r>
      <w:r>
        <w:rPr>
          <w:rFonts w:hint="default"/>
          <w:lang w:val="en-US" w:eastAsia="zh-CN"/>
        </w:rPr>
        <w:t>”</w:t>
      </w:r>
    </w:p>
    <w:p>
      <w:pPr>
        <w:pStyle w:val="8"/>
        <w:numPr>
          <w:ilvl w:val="0"/>
          <w:numId w:val="0"/>
        </w:numPr>
        <w:ind w:leftChars="0"/>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00002FF" w:usb1="4000ACFF" w:usb2="00000001"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1C6037CE"/>
    <w:multiLevelType w:val="multilevel"/>
    <w:tmpl w:val="1C6037CE"/>
    <w:lvl w:ilvl="0" w:tentative="0">
      <w:start w:val="1"/>
      <w:numFmt w:val="decimal"/>
      <w:lvlText w:val="(%1)"/>
      <w:lvlJc w:val="left"/>
      <w:pPr>
        <w:ind w:left="720" w:hanging="360"/>
      </w:pPr>
      <w:rPr>
        <w:rFonts w:hint="default"/>
      </w:rPr>
    </w:lvl>
    <w:lvl w:ilvl="1" w:tentative="0">
      <w:start w:val="1"/>
      <w:numFmt w:val="bullet"/>
      <w:lvlText w:val=""/>
      <w:lvlJc w:val="left"/>
      <w:pPr>
        <w:ind w:left="1440" w:hanging="360"/>
      </w:pPr>
      <w:rPr>
        <w:rFonts w:hint="default" w:ascii="Symbol" w:hAnsi="Symbol"/>
      </w:rPr>
    </w:lvl>
    <w:lvl w:ilvl="2" w:tentative="0">
      <w:start w:val="1"/>
      <w:numFmt w:val="bullet"/>
      <w:lvlText w:val="o"/>
      <w:lvlJc w:val="left"/>
      <w:pPr>
        <w:ind w:left="2160" w:hanging="180"/>
      </w:pPr>
      <w:rPr>
        <w:rFonts w:hint="default" w:ascii="Courier New" w:hAnsi="Courier New" w:cs="Courier New"/>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2993F998"/>
    <w:multiLevelType w:val="singleLevel"/>
    <w:tmpl w:val="2993F998"/>
    <w:lvl w:ilvl="0" w:tentative="0">
      <w:start w:val="1"/>
      <w:numFmt w:val="bullet"/>
      <w:lvlText w:val=""/>
      <w:lvlJc w:val="left"/>
      <w:pPr>
        <w:ind w:left="420" w:hanging="420"/>
      </w:pPr>
      <w:rPr>
        <w:rFonts w:hint="default" w:ascii="Wingdings" w:hAnsi="Wingdings"/>
      </w:rPr>
    </w:lvl>
  </w:abstractNum>
  <w:abstractNum w:abstractNumId="3">
    <w:nsid w:val="358330E3"/>
    <w:multiLevelType w:val="multilevel"/>
    <w:tmpl w:val="358330E3"/>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1080" w:hanging="360"/>
      </w:pPr>
      <w:rPr>
        <w:rFonts w:hint="default" w:ascii="Symbol" w:hAnsi="Symbol"/>
      </w:rPr>
    </w:lvl>
    <w:lvl w:ilvl="2" w:tentative="0">
      <w:start w:val="1"/>
      <w:numFmt w:val="lowerRoman"/>
      <w:lvlText w:val="%3."/>
      <w:lvlJc w:val="right"/>
      <w:pPr>
        <w:ind w:left="1800" w:hanging="180"/>
      </w:pPr>
    </w:lvl>
    <w:lvl w:ilvl="3" w:tentative="0">
      <w:start w:val="1"/>
      <w:numFmt w:val="decimal"/>
      <w:lvlText w:val="%4."/>
      <w:lvlJc w:val="left"/>
      <w:pPr>
        <w:ind w:left="2520" w:hanging="360"/>
      </w:pPr>
      <w:rPr>
        <w:rFonts w:hint="default"/>
      </w:r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6E3167"/>
    <w:multiLevelType w:val="multilevel"/>
    <w:tmpl w:val="4D6E3167"/>
    <w:lvl w:ilvl="0" w:tentative="0">
      <w:start w:val="1"/>
      <w:numFmt w:val="decimal"/>
      <w:pStyle w:val="39"/>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6B5B4F67"/>
    <w:multiLevelType w:val="multilevel"/>
    <w:tmpl w:val="6B5B4F67"/>
    <w:lvl w:ilvl="0" w:tentative="0">
      <w:start w:val="1"/>
      <w:numFmt w:val="decimal"/>
      <w:pStyle w:val="8"/>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5"/>
  </w:num>
  <w:num w:numId="2">
    <w:abstractNumId w:val="4"/>
  </w:num>
  <w:num w:numId="3">
    <w:abstractNumId w:val="0"/>
  </w:num>
  <w:num w:numId="4">
    <w:abstractNumId w:val="3"/>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7CD3CDD"/>
    <w:rsid w:val="09E644B8"/>
    <w:rsid w:val="180A6E32"/>
    <w:rsid w:val="18CD0507"/>
    <w:rsid w:val="21F13629"/>
    <w:rsid w:val="26BB1419"/>
    <w:rsid w:val="2C9B2325"/>
    <w:rsid w:val="36D37423"/>
    <w:rsid w:val="3CE4646B"/>
    <w:rsid w:val="3D5E7AA8"/>
    <w:rsid w:val="3D6F2596"/>
    <w:rsid w:val="40C765F3"/>
    <w:rsid w:val="45F60A50"/>
    <w:rsid w:val="51B14BED"/>
    <w:rsid w:val="55B1164D"/>
    <w:rsid w:val="56371459"/>
    <w:rsid w:val="63CA08D4"/>
    <w:rsid w:val="67A858DB"/>
    <w:rsid w:val="6DDE3DAF"/>
    <w:rsid w:val="715F4C2D"/>
    <w:rsid w:val="78911E31"/>
    <w:rsid w:val="7C1C35A7"/>
    <w:rsid w:val="7C45431D"/>
    <w:rsid w:val="7DDD0501"/>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19"/>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3"/>
    <w:link w:val="20"/>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7"/>
    <w:unhideWhenUsed/>
    <w:qFormat/>
    <w:uiPriority w:val="9"/>
    <w:pPr>
      <w:keepNext/>
      <w:keepLines/>
      <w:spacing w:before="260" w:after="260" w:line="416" w:lineRule="auto"/>
      <w:outlineLvl w:val="2"/>
    </w:pPr>
    <w:rPr>
      <w:b/>
      <w:bCs/>
      <w:sz w:val="32"/>
      <w:szCs w:val="32"/>
    </w:rPr>
  </w:style>
  <w:style w:type="character" w:default="1" w:styleId="15">
    <w:name w:val="Default Paragraph Font"/>
    <w:unhideWhenUsed/>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w:basedOn w:val="1"/>
    <w:link w:val="21"/>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7"/>
    <w:semiHidden/>
    <w:unhideWhenUsed/>
    <w:qFormat/>
    <w:uiPriority w:val="99"/>
    <w:rPr>
      <w:rFonts w:ascii="宋体" w:eastAsia="宋体"/>
      <w:sz w:val="18"/>
      <w:szCs w:val="18"/>
    </w:rPr>
  </w:style>
  <w:style w:type="paragraph" w:styleId="8">
    <w:name w:val="List 2"/>
    <w:basedOn w:val="9"/>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9">
    <w:name w:val="List"/>
    <w:basedOn w:val="1"/>
    <w:semiHidden/>
    <w:unhideWhenUsed/>
    <w:qFormat/>
    <w:uiPriority w:val="99"/>
    <w:pPr>
      <w:ind w:left="200" w:hanging="200" w:hangingChars="200"/>
      <w:contextualSpacing/>
    </w:pPr>
  </w:style>
  <w:style w:type="paragraph" w:styleId="10">
    <w:name w:val="Date"/>
    <w:basedOn w:val="1"/>
    <w:next w:val="1"/>
    <w:link w:val="43"/>
    <w:semiHidden/>
    <w:unhideWhenUsed/>
    <w:qFormat/>
    <w:uiPriority w:val="99"/>
    <w:pPr>
      <w:ind w:left="100" w:leftChars="2500"/>
    </w:pPr>
  </w:style>
  <w:style w:type="paragraph" w:styleId="11">
    <w:name w:val="Balloon Text"/>
    <w:basedOn w:val="1"/>
    <w:link w:val="25"/>
    <w:semiHidden/>
    <w:unhideWhenUsed/>
    <w:qFormat/>
    <w:uiPriority w:val="99"/>
    <w:rPr>
      <w:sz w:val="18"/>
      <w:szCs w:val="18"/>
      <w:lang w:val="zh-CN"/>
    </w:rPr>
  </w:style>
  <w:style w:type="paragraph" w:styleId="12">
    <w:name w:val="footer"/>
    <w:basedOn w:val="1"/>
    <w:link w:val="24"/>
    <w:unhideWhenUsed/>
    <w:qFormat/>
    <w:uiPriority w:val="99"/>
    <w:pPr>
      <w:tabs>
        <w:tab w:val="center" w:pos="4153"/>
        <w:tab w:val="right" w:pos="8306"/>
      </w:tabs>
      <w:snapToGrid w:val="0"/>
    </w:pPr>
    <w:rPr>
      <w:sz w:val="18"/>
      <w:szCs w:val="18"/>
      <w:lang w:val="zh-CN"/>
    </w:rPr>
  </w:style>
  <w:style w:type="paragraph" w:styleId="13">
    <w:name w:val="header"/>
    <w:basedOn w:val="1"/>
    <w:link w:val="22"/>
    <w:qFormat/>
    <w:uiPriority w:val="0"/>
    <w:pPr>
      <w:tabs>
        <w:tab w:val="center" w:pos="4536"/>
        <w:tab w:val="right" w:pos="9072"/>
      </w:tabs>
    </w:pPr>
    <w:rPr>
      <w:rFonts w:ascii="Arial" w:hAnsi="Arial" w:eastAsia="MS Mincho"/>
      <w:b/>
      <w:lang w:val="zh-CN"/>
    </w:rPr>
  </w:style>
  <w:style w:type="paragraph" w:styleId="14">
    <w:name w:val="Normal (Web)"/>
    <w:basedOn w:val="1"/>
    <w:unhideWhenUsed/>
    <w:qFormat/>
    <w:uiPriority w:val="0"/>
    <w:pPr>
      <w:spacing w:before="100" w:beforeAutospacing="1" w:after="100" w:afterAutospacing="1"/>
    </w:pPr>
    <w:rPr>
      <w:rFonts w:ascii="宋体" w:hAnsi="宋体" w:eastAsia="宋体" w:cs="宋体"/>
      <w:sz w:val="24"/>
      <w:lang w:eastAsia="zh-CN"/>
    </w:rPr>
  </w:style>
  <w:style w:type="character" w:styleId="16">
    <w:name w:val="Hyperlink"/>
    <w:qFormat/>
    <w:uiPriority w:val="99"/>
    <w:rPr>
      <w:color w:val="0000FF"/>
      <w:u w:val="single"/>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Heading 1 Char"/>
    <w:link w:val="2"/>
    <w:qFormat/>
    <w:uiPriority w:val="0"/>
    <w:rPr>
      <w:rFonts w:ascii="Helvetica" w:hAnsi="Helvetica" w:eastAsia="MS Mincho" w:cs="Times New Roman"/>
      <w:b/>
      <w:bCs/>
      <w:kern w:val="32"/>
      <w:sz w:val="28"/>
      <w:szCs w:val="32"/>
      <w:lang w:val="zh-CN" w:eastAsia="en-US"/>
    </w:rPr>
  </w:style>
  <w:style w:type="character" w:customStyle="1" w:styleId="20">
    <w:name w:val="Heading 2 Char1"/>
    <w:link w:val="4"/>
    <w:qFormat/>
    <w:uiPriority w:val="0"/>
    <w:rPr>
      <w:rFonts w:ascii="Helvetica" w:hAnsi="Helvetica" w:eastAsia="MS Mincho" w:cs="Times New Roman"/>
      <w:b/>
      <w:bCs/>
      <w:iCs/>
      <w:kern w:val="0"/>
      <w:sz w:val="20"/>
      <w:szCs w:val="28"/>
      <w:lang w:val="zh-CN" w:eastAsia="en-US"/>
    </w:rPr>
  </w:style>
  <w:style w:type="character" w:customStyle="1" w:styleId="21">
    <w:name w:val="Body Text Char"/>
    <w:link w:val="3"/>
    <w:qFormat/>
    <w:uiPriority w:val="0"/>
    <w:rPr>
      <w:rFonts w:ascii="Times New Roman" w:hAnsi="Times New Roman" w:eastAsia="MS Mincho" w:cs="Times New Roman"/>
      <w:kern w:val="0"/>
      <w:sz w:val="20"/>
      <w:szCs w:val="24"/>
      <w:lang w:val="zh-CN" w:eastAsia="en-US"/>
    </w:rPr>
  </w:style>
  <w:style w:type="character" w:customStyle="1" w:styleId="22">
    <w:name w:val="Header Char"/>
    <w:link w:val="13"/>
    <w:qFormat/>
    <w:uiPriority w:val="0"/>
    <w:rPr>
      <w:rFonts w:ascii="Arial" w:hAnsi="Arial" w:eastAsia="MS Mincho" w:cs="Times New Roman"/>
      <w:b/>
      <w:kern w:val="0"/>
      <w:sz w:val="20"/>
      <w:szCs w:val="24"/>
      <w:lang w:val="zh-CN" w:eastAsia="en-US"/>
    </w:rPr>
  </w:style>
  <w:style w:type="paragraph" w:customStyle="1" w:styleId="23">
    <w:name w:val="Paragraphe de liste"/>
    <w:basedOn w:val="1"/>
    <w:qFormat/>
    <w:uiPriority w:val="34"/>
    <w:pPr>
      <w:ind w:left="720"/>
    </w:pPr>
    <w:rPr>
      <w:rFonts w:eastAsia="宋体"/>
      <w:sz w:val="24"/>
      <w:lang w:val="fr-FR" w:eastAsia="zh-CN"/>
    </w:rPr>
  </w:style>
  <w:style w:type="character" w:customStyle="1" w:styleId="24">
    <w:name w:val="Footer Char"/>
    <w:link w:val="12"/>
    <w:qFormat/>
    <w:uiPriority w:val="99"/>
    <w:rPr>
      <w:rFonts w:ascii="Times New Roman" w:hAnsi="Times New Roman" w:eastAsia="Times New Roman" w:cs="Times New Roman"/>
      <w:kern w:val="0"/>
      <w:sz w:val="18"/>
      <w:szCs w:val="18"/>
      <w:lang w:eastAsia="en-US"/>
    </w:rPr>
  </w:style>
  <w:style w:type="character" w:customStyle="1" w:styleId="25">
    <w:name w:val="Balloon Text Char"/>
    <w:link w:val="11"/>
    <w:semiHidden/>
    <w:qFormat/>
    <w:uiPriority w:val="99"/>
    <w:rPr>
      <w:rFonts w:ascii="Times New Roman" w:hAnsi="Times New Roman" w:eastAsia="Times New Roman" w:cs="Times New Roman"/>
      <w:kern w:val="0"/>
      <w:sz w:val="18"/>
      <w:szCs w:val="18"/>
      <w:lang w:eastAsia="en-US"/>
    </w:rPr>
  </w:style>
  <w:style w:type="paragraph" w:styleId="26">
    <w:name w:val="List Paragraph"/>
    <w:basedOn w:val="1"/>
    <w:link w:val="41"/>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7">
    <w:name w:val="Document Map Char"/>
    <w:link w:val="7"/>
    <w:semiHidden/>
    <w:qFormat/>
    <w:uiPriority w:val="99"/>
    <w:rPr>
      <w:rFonts w:ascii="宋体" w:hAnsi="Times New Roman"/>
      <w:sz w:val="18"/>
      <w:szCs w:val="18"/>
      <w:lang w:eastAsia="en-US"/>
    </w:rPr>
  </w:style>
  <w:style w:type="paragraph" w:customStyle="1" w:styleId="28">
    <w:name w:val="B1"/>
    <w:basedOn w:val="9"/>
    <w:link w:val="29"/>
    <w:qFormat/>
    <w:uiPriority w:val="0"/>
    <w:pPr>
      <w:spacing w:after="180"/>
      <w:ind w:left="568" w:hanging="284" w:firstLineChars="0"/>
      <w:contextualSpacing w:val="0"/>
    </w:pPr>
    <w:rPr>
      <w:rFonts w:eastAsia="宋体"/>
      <w:szCs w:val="20"/>
      <w:lang w:val="en-GB"/>
    </w:rPr>
  </w:style>
  <w:style w:type="character" w:customStyle="1" w:styleId="29">
    <w:name w:val="B1 (文字)"/>
    <w:link w:val="28"/>
    <w:qFormat/>
    <w:locked/>
    <w:uiPriority w:val="0"/>
    <w:rPr>
      <w:rFonts w:ascii="Times New Roman" w:hAnsi="Times New Roman"/>
      <w:lang w:val="en-GB" w:eastAsia="en-US"/>
    </w:rPr>
  </w:style>
  <w:style w:type="character" w:customStyle="1" w:styleId="30">
    <w:name w:val="B1 Char1"/>
    <w:qFormat/>
    <w:uiPriority w:val="0"/>
    <w:rPr>
      <w:lang w:val="en-GB" w:eastAsia="en-US"/>
    </w:rPr>
  </w:style>
  <w:style w:type="paragraph" w:customStyle="1" w:styleId="31">
    <w:name w:val="TAH"/>
    <w:basedOn w:val="32"/>
    <w:link w:val="36"/>
    <w:qFormat/>
    <w:uiPriority w:val="0"/>
    <w:rPr>
      <w:b/>
    </w:rPr>
  </w:style>
  <w:style w:type="paragraph" w:customStyle="1" w:styleId="32">
    <w:name w:val="TAC"/>
    <w:basedOn w:val="1"/>
    <w:link w:val="35"/>
    <w:qFormat/>
    <w:uiPriority w:val="0"/>
    <w:pPr>
      <w:keepNext/>
      <w:keepLines/>
      <w:jc w:val="center"/>
    </w:pPr>
    <w:rPr>
      <w:rFonts w:ascii="Arial" w:hAnsi="Arial" w:eastAsia="宋体"/>
      <w:sz w:val="18"/>
      <w:szCs w:val="20"/>
      <w:lang w:val="en-GB" w:eastAsia="zh-CN"/>
    </w:rPr>
  </w:style>
  <w:style w:type="paragraph" w:customStyle="1" w:styleId="33">
    <w:name w:val="TH"/>
    <w:basedOn w:val="1"/>
    <w:link w:val="34"/>
    <w:qFormat/>
    <w:uiPriority w:val="0"/>
    <w:pPr>
      <w:keepNext/>
      <w:keepLines/>
      <w:spacing w:before="60" w:after="180"/>
      <w:jc w:val="center"/>
    </w:pPr>
    <w:rPr>
      <w:rFonts w:ascii="Arial" w:hAnsi="Arial" w:eastAsia="宋体"/>
      <w:b/>
      <w:szCs w:val="20"/>
      <w:lang w:val="en-GB" w:eastAsia="zh-CN"/>
    </w:rPr>
  </w:style>
  <w:style w:type="character" w:customStyle="1" w:styleId="34">
    <w:name w:val="TH Char"/>
    <w:link w:val="33"/>
    <w:qFormat/>
    <w:uiPriority w:val="0"/>
    <w:rPr>
      <w:rFonts w:ascii="Arial" w:hAnsi="Arial" w:eastAsia="宋体"/>
      <w:b/>
      <w:lang w:val="en-GB" w:eastAsia="zh-CN"/>
    </w:rPr>
  </w:style>
  <w:style w:type="character" w:customStyle="1" w:styleId="35">
    <w:name w:val="TAC Char"/>
    <w:link w:val="32"/>
    <w:qFormat/>
    <w:uiPriority w:val="0"/>
    <w:rPr>
      <w:rFonts w:ascii="Arial" w:hAnsi="Arial" w:eastAsia="宋体"/>
      <w:sz w:val="18"/>
      <w:lang w:val="en-GB" w:eastAsia="zh-CN"/>
    </w:rPr>
  </w:style>
  <w:style w:type="character" w:customStyle="1" w:styleId="36">
    <w:name w:val="TAH Car"/>
    <w:link w:val="31"/>
    <w:qFormat/>
    <w:uiPriority w:val="0"/>
    <w:rPr>
      <w:rFonts w:ascii="Arial" w:hAnsi="Arial" w:eastAsia="宋体"/>
      <w:b/>
      <w:sz w:val="18"/>
      <w:lang w:val="en-GB" w:eastAsia="zh-CN"/>
    </w:rPr>
  </w:style>
  <w:style w:type="paragraph" w:customStyle="1" w:styleId="3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38">
    <w:name w:val="TAR"/>
    <w:basedOn w:val="1"/>
    <w:qFormat/>
    <w:uiPriority w:val="0"/>
    <w:pPr>
      <w:keepNext/>
      <w:keepLines/>
      <w:jc w:val="right"/>
    </w:pPr>
    <w:rPr>
      <w:rFonts w:ascii="Arial" w:hAnsi="Arial" w:eastAsia="宋体"/>
      <w:sz w:val="18"/>
      <w:szCs w:val="20"/>
      <w:lang w:val="en-GB"/>
    </w:rPr>
  </w:style>
  <w:style w:type="paragraph" w:customStyle="1" w:styleId="39">
    <w:name w:val="RAN4 proposal"/>
    <w:basedOn w:val="6"/>
    <w:next w:val="1"/>
    <w:link w:val="40"/>
    <w:qFormat/>
    <w:uiPriority w:val="0"/>
    <w:pPr>
      <w:numPr>
        <w:ilvl w:val="0"/>
        <w:numId w:val="2"/>
      </w:numPr>
      <w:spacing w:after="200"/>
      <w:ind w:left="0" w:firstLine="0"/>
    </w:pPr>
    <w:rPr>
      <w:rFonts w:ascii="Times New Roman" w:hAnsi="Times New Roman" w:eastAsia="宋体"/>
      <w:b/>
      <w:iCs/>
      <w:szCs w:val="18"/>
    </w:rPr>
  </w:style>
  <w:style w:type="character" w:customStyle="1" w:styleId="40">
    <w:name w:val="RAN4 proposal Char"/>
    <w:link w:val="39"/>
    <w:qFormat/>
    <w:uiPriority w:val="0"/>
    <w:rPr>
      <w:rFonts w:ascii="Times New Roman" w:hAnsi="Times New Roman"/>
      <w:b/>
      <w:iCs/>
      <w:szCs w:val="18"/>
      <w:lang w:eastAsia="en-US"/>
    </w:rPr>
  </w:style>
  <w:style w:type="character" w:customStyle="1" w:styleId="41">
    <w:name w:val="List Paragraph Char"/>
    <w:link w:val="26"/>
    <w:qFormat/>
    <w:uiPriority w:val="34"/>
    <w:rPr>
      <w:kern w:val="2"/>
      <w:sz w:val="21"/>
      <w:szCs w:val="22"/>
    </w:rPr>
  </w:style>
  <w:style w:type="character" w:customStyle="1" w:styleId="42">
    <w:name w:val="ZGSM"/>
    <w:qFormat/>
    <w:uiPriority w:val="0"/>
  </w:style>
  <w:style w:type="character" w:customStyle="1" w:styleId="43">
    <w:name w:val="Date Char"/>
    <w:link w:val="10"/>
    <w:semiHidden/>
    <w:qFormat/>
    <w:uiPriority w:val="99"/>
    <w:rPr>
      <w:rFonts w:ascii="Times New Roman" w:hAnsi="Times New Roman" w:eastAsia="Times New Roman"/>
      <w:szCs w:val="24"/>
      <w:lang w:eastAsia="en-US"/>
    </w:rPr>
  </w:style>
  <w:style w:type="paragraph" w:customStyle="1" w:styleId="44">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45">
    <w:name w:val="TAL"/>
    <w:basedOn w:val="1"/>
    <w:link w:val="46"/>
    <w:qFormat/>
    <w:uiPriority w:val="0"/>
    <w:pPr>
      <w:keepNext/>
      <w:keepLines/>
    </w:pPr>
    <w:rPr>
      <w:rFonts w:ascii="Arial" w:hAnsi="Arial" w:eastAsia="宋体"/>
      <w:sz w:val="18"/>
      <w:szCs w:val="20"/>
      <w:lang w:val="en-GB"/>
    </w:rPr>
  </w:style>
  <w:style w:type="character" w:customStyle="1" w:styleId="46">
    <w:name w:val="TAL Char"/>
    <w:link w:val="45"/>
    <w:qFormat/>
    <w:uiPriority w:val="0"/>
    <w:rPr>
      <w:rFonts w:ascii="Arial" w:hAnsi="Arial"/>
      <w:sz w:val="18"/>
      <w:lang w:val="en-GB" w:eastAsia="en-US"/>
    </w:rPr>
  </w:style>
  <w:style w:type="character" w:customStyle="1" w:styleId="47">
    <w:name w:val="Heading 3 Char"/>
    <w:link w:val="5"/>
    <w:qFormat/>
    <w:uiPriority w:val="9"/>
    <w:rPr>
      <w:rFonts w:ascii="Times New Roman" w:hAnsi="Times New Roman" w:eastAsia="Times New Roman"/>
      <w:b/>
      <w:bCs/>
      <w:sz w:val="32"/>
      <w:szCs w:val="32"/>
      <w:lang w:eastAsia="en-US"/>
    </w:rPr>
  </w:style>
  <w:style w:type="character" w:customStyle="1" w:styleId="48">
    <w:name w:val="TAL Car"/>
    <w:qFormat/>
    <w:uiPriority w:val="0"/>
    <w:rPr>
      <w:rFonts w:ascii="Arial" w:hAnsi="Arial" w:eastAsia="Times New Roman" w:cs="Times New Roman"/>
      <w:kern w:val="0"/>
      <w:sz w:val="18"/>
      <w:szCs w:val="20"/>
      <w:lang w:val="en-GB" w:eastAsia="ko-KR"/>
    </w:rPr>
  </w:style>
  <w:style w:type="paragraph" w:customStyle="1" w:styleId="49">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2021-04-02T01:28:24Z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